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8ee738632f7432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31067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Hrvatsko narodno kazalište Ivana pl. Zajca Rijeka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5.015.392,30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6.429.877,56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5.033.448,68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6.078.073,94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351.803,62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150.720,73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150.720,73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28.026,71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323.776,91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razdoblju od 1. siječnja do 30. lipnja 2025 ostvaren je višak prihoda i primitaka nad rashodima i izdacima u iznosu od 323.776,91 EUR, što je rezultat pozitivnog poslovanja u prvoj polovici godine.
Ukupni prihodi iznosili su 6.429.877,56 EUR, dok su ukupni rashodi iznosili 6.078.073,94 EUR, uz rashode za nabavu nefinancijske imovine u iznosu 28.026,71 EUR.
Pozitivno financijsko kretanje rezultat je sljedećih čimbenika:
Povećani prihodi od prodaje ulaznica u odnosu na isto razdoblje prethodne godine, što je pokazatelj rasta interesa publike.
Smanjeni materijalni rashodi u odnosu na prethodno razdoblje, zahvaljujući racionalizaciji troškova i učinkovitijem upravljanju resursima.
Sudski sporovi u tijeku:
1. radnog spora povodom tužbe radnika Sergeja Kiseleva protiv Kazališta (Općinski sud u Rijeci, posl. br. Pr-275/2024)- zakazano pripremno ročište
2. postupka ovrhe koji se vodi temeljem rješenja o ovrsi na temelju vjerodostojne isprave, a koji je pokrenut po prijedlogu ovrhovoditelja Alcantara Veliz Emilio Jose, vl. obrta JUGLART, OBRT ZA USLUGE, vl. EMILIO JOSE ALCANTARA VELIZ, OPATIJA, PUT ZA PLAHUTI 6, protiv Kazališta kao ovršenika (Općinski sud u Rijeci, posl. br. Povrv-138/2025); trenutno u riješavanju
3. kaznenog postupka koji se vodi povodom privatne tužbe Kazališta i Marina Blaževića protiv okrivljenika Ivana Majdaka (Općinski sud u Rijeci, posl. br. K-428/2022); predmet se trenutno nalazi u prvostupanjskom rješavanju
4. kaznenog postupka koji se vodi protiv okrivljenice Josipe Brbore (Općinski sud u Rijeci,posl. br. K-722/2019)-odustaje od prijedloga za ostvarivanje imovinskopravnog zahtjeva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185.322,07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302.172,31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w:t>
            </w:r>
          </w:p>
        </w:tc>
      </w:tr>
    </w:tbl>
    <w:p>
      <w:pPr>
        <w:spacing w:before="0" w:after="0"/>
      </w:pPr>
    </w:p>
    <w:p>
      <w:pPr>
        <w:jc w:val="both"/>
        <w:pStyle w:val="Normal"/>
        <w:spacing w:line="240" w:lineRule="auto"/>
      </w:pPr>
      <w:r>
        <w:rPr>
          <w:sz w:val="24"/>
          <w:rFonts w:ascii="Times New Roman" w:hAnsi="Times New Roman"/>
        </w:rPr>
        <w:t>Prihodi od prodaje ulaznica u promatranom razdoblju iznosili su 302.172,31 EUR, što predstavlja povećanje od 116.850,24 EUR ili 63,1 % u odnosu na isto razdoblje prethodne godine, kada su iznosili 185.322,07 EUR.
Povećanje prihoda rezultat je kombinacije nekoliko čimbenika: povećane posjećenosti, te povećanja cijena usluga, što je dodatno doprinijelo rastu prihoda.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3.838.249,90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5.259.545,14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pPr>
        <w:jc w:val="both"/>
        <w:pStyle w:val="Normal"/>
        <w:spacing w:line="240" w:lineRule="auto"/>
      </w:pPr>
      <w:r>
        <w:rPr>
          <w:sz w:val="24"/>
          <w:rFonts w:ascii="Times New Roman" w:hAnsi="Times New Roman"/>
        </w:rPr>
        <w:t>U iznosu 5.259.545,14 Eur bilježimo povećanje od  37 % više u odnosu na isto razdoblje prethodne godine. Glavni razlozi ovog povećanja odnose se na veće rashode za plaće u tekućoj godini, što je rezultat povećanih materijalnih prava koja su važila tijekom cijelog prvog polugodišta 2025. godine.Naime, navedena materijalna prava su u prethodnom razdoblju tek uvedena te nisu vrijedila tijekom cijelog prvog polugodišta 2024. godine. Također, treba istaknuti da su prihodi  porasli zbog podmirenja starih dugovanja iz prethodnih godina u iznosu 164.277,49 Eur, koja je Osnivač izvršio temeljem Sporazuma o podmirenju duga.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3.325.677,58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4.598.805,08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w:t>
            </w:r>
          </w:p>
        </w:tc>
      </w:tr>
    </w:tbl>
    <w:p>
      <w:pPr>
        <w:spacing w:before="0" w:after="0"/>
      </w:pPr>
    </w:p>
    <w:p>
      <w:pPr>
        <w:jc w:val="both"/>
        <w:pStyle w:val="Normal"/>
        <w:spacing w:line="240" w:lineRule="auto"/>
      </w:pPr>
      <w:r>
        <w:rPr>
          <w:sz w:val="24"/>
          <w:rFonts w:ascii="Times New Roman" w:hAnsi="Times New Roman"/>
        </w:rPr>
        <w:t>Glavni razlozi ovog povećanja odnose se na veće rashode za plaće u tekućoj godini, što je rezultat povećanih materijalnih prava koja su važila tijekom cijelog prvog polugodišta 2025. Naime, navedena materijalna prava su u prethodnom razdoblju tek uvedena te nisu vrijedila tijekom cijelog prvog polugodišta 2024. godine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1.702.157,17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1.477.816,98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r>
    </w:tbl>
    <w:p>
      <w:pPr>
        <w:spacing w:before="0" w:after="0"/>
      </w:pPr>
    </w:p>
    <w:p>
      <w:pPr>
        <w:jc w:val="both"/>
        <w:pStyle w:val="Normal"/>
        <w:spacing w:line="240" w:lineRule="auto"/>
      </w:pPr>
      <w:r>
        <w:rPr>
          <w:sz w:val="24"/>
          <w:rFonts w:ascii="Times New Roman" w:hAnsi="Times New Roman"/>
        </w:rPr>
        <w:t>Materijalni rashodi u promatranom razdoblju iznosili su 1.477.816,98 EUR, što je za 224.340,19 EUR manje u odnosu na isto razdoblje prethodne godine, kada su iznosili 1.702.157,17 EUR.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150.720,73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r>
    </w:tbl>
    <w:p>
      <w:pPr>
        <w:spacing w:before="0" w:after="0"/>
      </w:pPr>
    </w:p>
    <w:p>
      <w:pPr>
        <w:jc w:val="both"/>
        <w:pStyle w:val="Normal"/>
        <w:spacing w:line="240" w:lineRule="auto"/>
      </w:pPr>
      <w:r>
        <w:rPr>
          <w:sz w:val="24"/>
          <w:rFonts w:ascii="Times New Roman" w:hAnsi="Times New Roman"/>
        </w:rPr>
        <w:t>Rashodi za nabavu nefinancijske imovine u promatranom razdoblju iznosili su 28.026,71 EUR, što je značajno smanjenje u odnosu na isto razdoblje prethodne godine, kada su iznosili 150.720,73 EUR.
Ovaj pad rashoda odražava smanjene investicije u nefinancijsku imovinu tijekom izvještajnog razdoblja.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310.814,60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početku izvještajnog razdoblja ukupne obveze iznosile su 1.253.040,82 EUR, dok na dan 30. lipnja 2025.  iznose 1.166.285,37 EUR, što predstavlja smanjenje obveza za 86.755,45 EUR.
Smanjenje obveza rezultat je redovitog podmirivanja dospjelih obveza, kao i sklapanja sporazumnog ugovora s Gradom Rijekom o pokriću dijela manjkova iz prethodnog razdoblja, čime je dodatno smanjeno financijsko opterećenje.
Za usporedbu, obveze na isti datum prethodne godine (30. lipnja 2024.) iznosile su 1.226.332,51 EUR, što ukazuje na nastavak trenda smanjenja obveza u odnosu na isto razdoblje prethodne godine.
Ova mjera značajno je doprinijela stabilizaciji poslovanja i omogućila učinkovitije upravljanje obvezama tijekom promatranog razdoblja.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973e0f4421545e1" /></Relationships>
</file>