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602F2" w14:paraId="3C026F2B" w14:textId="77777777">
        <w:tblPrEx>
          <w:tblCellMar>
            <w:top w:w="0" w:type="dxa"/>
            <w:bottom w:w="0" w:type="dxa"/>
          </w:tblCellMar>
        </w:tblPrEx>
        <w:trPr>
          <w:tblCellSpacing w:w="60" w:type="dxa"/>
        </w:trPr>
        <w:tc>
          <w:tcPr>
            <w:tcW w:w="1200" w:type="pct"/>
            <w:shd w:val="clear" w:color="auto" w:fill="E7F0F9"/>
          </w:tcPr>
          <w:p w14:paraId="44CDC515" w14:textId="77777777" w:rsidR="003602F2" w:rsidRDefault="008D1F8B">
            <w:pPr>
              <w:spacing w:after="0" w:line="240" w:lineRule="auto"/>
            </w:pPr>
            <w:r>
              <w:rPr>
                <w:b/>
              </w:rPr>
              <w:t>RKP broj</w:t>
            </w:r>
          </w:p>
        </w:tc>
        <w:tc>
          <w:tcPr>
            <w:tcW w:w="0" w:type="auto"/>
            <w:shd w:val="clear" w:color="auto" w:fill="E7F0F9"/>
          </w:tcPr>
          <w:p w14:paraId="250E98A3" w14:textId="77777777" w:rsidR="003602F2" w:rsidRDefault="008D1F8B">
            <w:pPr>
              <w:spacing w:after="0" w:line="240" w:lineRule="auto"/>
            </w:pPr>
            <w:r>
              <w:t>31067</w:t>
            </w:r>
          </w:p>
        </w:tc>
      </w:tr>
      <w:tr w:rsidR="003602F2" w14:paraId="1AD43BE4" w14:textId="77777777">
        <w:tblPrEx>
          <w:tblCellMar>
            <w:top w:w="0" w:type="dxa"/>
            <w:bottom w:w="0" w:type="dxa"/>
          </w:tblCellMar>
        </w:tblPrEx>
        <w:trPr>
          <w:tblCellSpacing w:w="60" w:type="dxa"/>
        </w:trPr>
        <w:tc>
          <w:tcPr>
            <w:tcW w:w="1200" w:type="pct"/>
            <w:shd w:val="clear" w:color="auto" w:fill="E7F0F9"/>
          </w:tcPr>
          <w:p w14:paraId="446FA92D" w14:textId="77777777" w:rsidR="003602F2" w:rsidRDefault="008D1F8B">
            <w:pPr>
              <w:spacing w:after="0" w:line="240" w:lineRule="auto"/>
            </w:pPr>
            <w:r>
              <w:rPr>
                <w:b/>
              </w:rPr>
              <w:t>Naziv obveznika</w:t>
            </w:r>
          </w:p>
        </w:tc>
        <w:tc>
          <w:tcPr>
            <w:tcW w:w="0" w:type="auto"/>
            <w:shd w:val="clear" w:color="auto" w:fill="E7F0F9"/>
          </w:tcPr>
          <w:p w14:paraId="0AB9F40D" w14:textId="77777777" w:rsidR="003602F2" w:rsidRDefault="008D1F8B">
            <w:pPr>
              <w:spacing w:after="0" w:line="240" w:lineRule="auto"/>
            </w:pPr>
            <w:r>
              <w:t>Hrvatsko narodno kazalište Ivana pl. Zajca Rijeka</w:t>
            </w:r>
          </w:p>
        </w:tc>
      </w:tr>
      <w:tr w:rsidR="003602F2" w14:paraId="4C63AFDE" w14:textId="77777777">
        <w:tblPrEx>
          <w:tblCellMar>
            <w:top w:w="0" w:type="dxa"/>
            <w:bottom w:w="0" w:type="dxa"/>
          </w:tblCellMar>
        </w:tblPrEx>
        <w:trPr>
          <w:tblCellSpacing w:w="60" w:type="dxa"/>
        </w:trPr>
        <w:tc>
          <w:tcPr>
            <w:tcW w:w="1200" w:type="pct"/>
            <w:shd w:val="clear" w:color="auto" w:fill="E7F0F9"/>
          </w:tcPr>
          <w:p w14:paraId="5B0A50E6" w14:textId="77777777" w:rsidR="003602F2" w:rsidRDefault="008D1F8B">
            <w:pPr>
              <w:spacing w:after="0" w:line="240" w:lineRule="auto"/>
            </w:pPr>
            <w:r>
              <w:rPr>
                <w:b/>
              </w:rPr>
              <w:t>Razina</w:t>
            </w:r>
          </w:p>
        </w:tc>
        <w:tc>
          <w:tcPr>
            <w:tcW w:w="0" w:type="auto"/>
            <w:shd w:val="clear" w:color="auto" w:fill="E7F0F9"/>
          </w:tcPr>
          <w:p w14:paraId="35CE74CD" w14:textId="77777777" w:rsidR="003602F2" w:rsidRDefault="008D1F8B">
            <w:pPr>
              <w:spacing w:after="0" w:line="240" w:lineRule="auto"/>
            </w:pPr>
            <w:r>
              <w:t>21</w:t>
            </w:r>
          </w:p>
        </w:tc>
      </w:tr>
    </w:tbl>
    <w:p w14:paraId="275EB7DC" w14:textId="77777777" w:rsidR="003602F2" w:rsidRDefault="008D1F8B">
      <w:r>
        <w:br/>
      </w:r>
    </w:p>
    <w:p w14:paraId="77C02F16" w14:textId="77777777" w:rsidR="003602F2" w:rsidRDefault="008D1F8B">
      <w:pPr>
        <w:spacing w:line="240" w:lineRule="auto"/>
        <w:jc w:val="center"/>
      </w:pPr>
      <w:r>
        <w:rPr>
          <w:b/>
          <w:sz w:val="28"/>
        </w:rPr>
        <w:t>BILJEŠKE UZ FINANCIJSKE IZVJEŠTAJE</w:t>
      </w:r>
    </w:p>
    <w:p w14:paraId="22DB59BA" w14:textId="77777777" w:rsidR="003602F2" w:rsidRDefault="008D1F8B">
      <w:pPr>
        <w:spacing w:line="240" w:lineRule="auto"/>
        <w:jc w:val="center"/>
      </w:pPr>
      <w:r>
        <w:rPr>
          <w:b/>
          <w:sz w:val="28"/>
        </w:rPr>
        <w:t>ZA RAZDOBLJE</w:t>
      </w:r>
    </w:p>
    <w:p w14:paraId="540DFC6D" w14:textId="77777777" w:rsidR="003602F2" w:rsidRDefault="008D1F8B">
      <w:pPr>
        <w:spacing w:line="240" w:lineRule="auto"/>
        <w:jc w:val="center"/>
      </w:pPr>
      <w:r>
        <w:rPr>
          <w:b/>
          <w:sz w:val="28"/>
        </w:rPr>
        <w:t>I - XII 2025.</w:t>
      </w:r>
    </w:p>
    <w:p w14:paraId="3799C2DB" w14:textId="77777777" w:rsidR="003602F2" w:rsidRDefault="003602F2"/>
    <w:p w14:paraId="20D51C8F" w14:textId="77777777" w:rsidR="003602F2" w:rsidRDefault="008D1F8B">
      <w:pPr>
        <w:keepNext/>
        <w:spacing w:line="240" w:lineRule="auto"/>
        <w:jc w:val="center"/>
      </w:pPr>
      <w:r>
        <w:rPr>
          <w:b/>
          <w:sz w:val="28"/>
        </w:rPr>
        <w:t>Izvještaj o prihodima i rashodima, primicima i izdacima</w:t>
      </w:r>
    </w:p>
    <w:p w14:paraId="2AB55AFD" w14:textId="77777777" w:rsidR="003602F2" w:rsidRDefault="008D1F8B">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0B496D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068DD"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73AEAB"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009B6F"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7A57A" w14:textId="77777777" w:rsidR="003602F2" w:rsidRDefault="008D1F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73FCFC" w14:textId="77777777" w:rsidR="003602F2" w:rsidRDefault="008D1F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BD03D9" w14:textId="77777777" w:rsidR="003602F2" w:rsidRDefault="008D1F8B">
            <w:pPr>
              <w:keepNext/>
              <w:keepLines/>
              <w:spacing w:after="0" w:line="240" w:lineRule="auto"/>
              <w:jc w:val="center"/>
            </w:pPr>
            <w:r>
              <w:rPr>
                <w:b/>
                <w:sz w:val="18"/>
              </w:rPr>
              <w:t>Indeks (%)</w:t>
            </w:r>
          </w:p>
        </w:tc>
      </w:tr>
      <w:tr w:rsidR="003602F2" w14:paraId="138A9AFA" w14:textId="77777777">
        <w:tblPrEx>
          <w:tblCellMar>
            <w:top w:w="0" w:type="dxa"/>
            <w:bottom w:w="0" w:type="dxa"/>
          </w:tblCellMar>
        </w:tblPrEx>
        <w:trPr>
          <w:cantSplit/>
          <w:trHeight w:val="560"/>
        </w:trPr>
        <w:tc>
          <w:tcPr>
            <w:tcW w:w="700" w:type="dxa"/>
            <w:tcMar>
              <w:top w:w="0" w:type="dxa"/>
              <w:bottom w:w="0" w:type="dxa"/>
            </w:tcMar>
            <w:vAlign w:val="center"/>
          </w:tcPr>
          <w:p w14:paraId="1AF7E762" w14:textId="77777777" w:rsidR="003602F2" w:rsidRDefault="008D1F8B">
            <w:pPr>
              <w:keepNext/>
              <w:keepLines/>
              <w:spacing w:after="0" w:line="240" w:lineRule="auto"/>
            </w:pPr>
            <w:r>
              <w:rPr>
                <w:sz w:val="18"/>
              </w:rPr>
              <w:t>6</w:t>
            </w:r>
          </w:p>
        </w:tc>
        <w:tc>
          <w:tcPr>
            <w:tcW w:w="3180" w:type="dxa"/>
            <w:tcMar>
              <w:top w:w="0" w:type="dxa"/>
              <w:bottom w:w="0" w:type="dxa"/>
            </w:tcMar>
            <w:vAlign w:val="center"/>
          </w:tcPr>
          <w:p w14:paraId="33746CF3" w14:textId="77777777" w:rsidR="003602F2" w:rsidRDefault="008D1F8B">
            <w:pPr>
              <w:keepNext/>
              <w:keepLines/>
              <w:spacing w:after="0" w:line="240" w:lineRule="auto"/>
            </w:pPr>
            <w:r>
              <w:rPr>
                <w:sz w:val="18"/>
              </w:rPr>
              <w:t>PRIHODI POSLOVANJA (šifre 61+62+63+64+65+66+67+68)</w:t>
            </w:r>
          </w:p>
        </w:tc>
        <w:tc>
          <w:tcPr>
            <w:tcW w:w="700" w:type="dxa"/>
            <w:tcMar>
              <w:top w:w="0" w:type="dxa"/>
              <w:bottom w:w="0" w:type="dxa"/>
            </w:tcMar>
            <w:vAlign w:val="center"/>
          </w:tcPr>
          <w:p w14:paraId="148471A8" w14:textId="77777777" w:rsidR="003602F2" w:rsidRDefault="008D1F8B">
            <w:pPr>
              <w:keepNext/>
              <w:keepLines/>
              <w:spacing w:after="0" w:line="240" w:lineRule="auto"/>
            </w:pPr>
            <w:r>
              <w:rPr>
                <w:sz w:val="18"/>
              </w:rPr>
              <w:t>6</w:t>
            </w:r>
          </w:p>
        </w:tc>
        <w:tc>
          <w:tcPr>
            <w:tcW w:w="1860" w:type="dxa"/>
            <w:tcMar>
              <w:top w:w="0" w:type="dxa"/>
              <w:bottom w:w="0" w:type="dxa"/>
            </w:tcMar>
            <w:vAlign w:val="center"/>
          </w:tcPr>
          <w:p w14:paraId="38090988" w14:textId="77777777" w:rsidR="003602F2" w:rsidRDefault="008D1F8B">
            <w:pPr>
              <w:keepNext/>
              <w:keepLines/>
              <w:spacing w:after="0" w:line="240" w:lineRule="auto"/>
              <w:jc w:val="right"/>
            </w:pPr>
            <w:r>
              <w:rPr>
                <w:sz w:val="18"/>
              </w:rPr>
              <w:t>10.225.302,42</w:t>
            </w:r>
          </w:p>
        </w:tc>
        <w:tc>
          <w:tcPr>
            <w:tcW w:w="1860" w:type="dxa"/>
            <w:tcMar>
              <w:top w:w="0" w:type="dxa"/>
              <w:bottom w:w="0" w:type="dxa"/>
            </w:tcMar>
            <w:vAlign w:val="center"/>
          </w:tcPr>
          <w:p w14:paraId="4DBF7588" w14:textId="77777777" w:rsidR="003602F2" w:rsidRDefault="008D1F8B">
            <w:pPr>
              <w:keepNext/>
              <w:keepLines/>
              <w:spacing w:after="0" w:line="240" w:lineRule="auto"/>
              <w:jc w:val="right"/>
            </w:pPr>
            <w:r>
              <w:rPr>
                <w:sz w:val="18"/>
              </w:rPr>
              <w:t>12.911.179,38</w:t>
            </w:r>
          </w:p>
        </w:tc>
        <w:tc>
          <w:tcPr>
            <w:tcW w:w="700" w:type="dxa"/>
            <w:tcMar>
              <w:top w:w="0" w:type="dxa"/>
              <w:bottom w:w="0" w:type="dxa"/>
            </w:tcMar>
            <w:vAlign w:val="center"/>
          </w:tcPr>
          <w:p w14:paraId="450CB50D" w14:textId="77777777" w:rsidR="003602F2" w:rsidRDefault="008D1F8B">
            <w:pPr>
              <w:keepNext/>
              <w:keepLines/>
              <w:spacing w:after="0" w:line="240" w:lineRule="auto"/>
              <w:jc w:val="right"/>
            </w:pPr>
            <w:r>
              <w:rPr>
                <w:sz w:val="18"/>
              </w:rPr>
              <w:t>126,3</w:t>
            </w:r>
          </w:p>
        </w:tc>
      </w:tr>
      <w:tr w:rsidR="003602F2" w14:paraId="48641FE3" w14:textId="77777777">
        <w:tblPrEx>
          <w:tblCellMar>
            <w:top w:w="0" w:type="dxa"/>
            <w:bottom w:w="0" w:type="dxa"/>
          </w:tblCellMar>
        </w:tblPrEx>
        <w:trPr>
          <w:cantSplit/>
          <w:trHeight w:val="560"/>
        </w:trPr>
        <w:tc>
          <w:tcPr>
            <w:tcW w:w="700" w:type="dxa"/>
            <w:tcMar>
              <w:top w:w="0" w:type="dxa"/>
              <w:bottom w:w="0" w:type="dxa"/>
            </w:tcMar>
            <w:vAlign w:val="center"/>
          </w:tcPr>
          <w:p w14:paraId="476827D6" w14:textId="77777777" w:rsidR="003602F2" w:rsidRDefault="008D1F8B">
            <w:pPr>
              <w:keepNext/>
              <w:keepLines/>
              <w:spacing w:after="0" w:line="240" w:lineRule="auto"/>
            </w:pPr>
            <w:r>
              <w:rPr>
                <w:sz w:val="18"/>
              </w:rPr>
              <w:t>3</w:t>
            </w:r>
          </w:p>
        </w:tc>
        <w:tc>
          <w:tcPr>
            <w:tcW w:w="3180" w:type="dxa"/>
            <w:tcMar>
              <w:top w:w="0" w:type="dxa"/>
              <w:bottom w:w="0" w:type="dxa"/>
            </w:tcMar>
            <w:vAlign w:val="center"/>
          </w:tcPr>
          <w:p w14:paraId="01CD0D5F" w14:textId="77777777" w:rsidR="003602F2" w:rsidRDefault="008D1F8B">
            <w:pPr>
              <w:keepNext/>
              <w:keepLines/>
              <w:spacing w:after="0" w:line="240" w:lineRule="auto"/>
            </w:pPr>
            <w:r>
              <w:rPr>
                <w:sz w:val="18"/>
              </w:rPr>
              <w:t>RASHODI POSLOVANJA (šifre 31+32+34+35+36+37+38)</w:t>
            </w:r>
          </w:p>
        </w:tc>
        <w:tc>
          <w:tcPr>
            <w:tcW w:w="700" w:type="dxa"/>
            <w:tcMar>
              <w:top w:w="0" w:type="dxa"/>
              <w:bottom w:w="0" w:type="dxa"/>
            </w:tcMar>
            <w:vAlign w:val="center"/>
          </w:tcPr>
          <w:p w14:paraId="328693B5" w14:textId="77777777" w:rsidR="003602F2" w:rsidRDefault="008D1F8B">
            <w:pPr>
              <w:keepNext/>
              <w:keepLines/>
              <w:spacing w:after="0" w:line="240" w:lineRule="auto"/>
            </w:pPr>
            <w:r>
              <w:rPr>
                <w:sz w:val="18"/>
              </w:rPr>
              <w:t>3</w:t>
            </w:r>
          </w:p>
        </w:tc>
        <w:tc>
          <w:tcPr>
            <w:tcW w:w="1860" w:type="dxa"/>
            <w:tcMar>
              <w:top w:w="0" w:type="dxa"/>
              <w:bottom w:w="0" w:type="dxa"/>
            </w:tcMar>
            <w:vAlign w:val="center"/>
          </w:tcPr>
          <w:p w14:paraId="6FDD684F" w14:textId="77777777" w:rsidR="003602F2" w:rsidRDefault="008D1F8B">
            <w:pPr>
              <w:keepNext/>
              <w:keepLines/>
              <w:spacing w:after="0" w:line="240" w:lineRule="auto"/>
              <w:jc w:val="right"/>
            </w:pPr>
            <w:r>
              <w:rPr>
                <w:sz w:val="18"/>
              </w:rPr>
              <w:t>10.761.634,36</w:t>
            </w:r>
          </w:p>
        </w:tc>
        <w:tc>
          <w:tcPr>
            <w:tcW w:w="1860" w:type="dxa"/>
            <w:tcMar>
              <w:top w:w="0" w:type="dxa"/>
              <w:bottom w:w="0" w:type="dxa"/>
            </w:tcMar>
            <w:vAlign w:val="center"/>
          </w:tcPr>
          <w:p w14:paraId="1BF7A293" w14:textId="77777777" w:rsidR="003602F2" w:rsidRDefault="008D1F8B">
            <w:pPr>
              <w:keepNext/>
              <w:keepLines/>
              <w:spacing w:after="0" w:line="240" w:lineRule="auto"/>
              <w:jc w:val="right"/>
            </w:pPr>
            <w:r>
              <w:rPr>
                <w:sz w:val="18"/>
              </w:rPr>
              <w:t>12.322.738,71</w:t>
            </w:r>
          </w:p>
        </w:tc>
        <w:tc>
          <w:tcPr>
            <w:tcW w:w="700" w:type="dxa"/>
            <w:tcMar>
              <w:top w:w="0" w:type="dxa"/>
              <w:bottom w:w="0" w:type="dxa"/>
            </w:tcMar>
            <w:vAlign w:val="center"/>
          </w:tcPr>
          <w:p w14:paraId="0624AF42" w14:textId="77777777" w:rsidR="003602F2" w:rsidRDefault="008D1F8B">
            <w:pPr>
              <w:keepNext/>
              <w:keepLines/>
              <w:spacing w:after="0" w:line="240" w:lineRule="auto"/>
              <w:jc w:val="right"/>
            </w:pPr>
            <w:r>
              <w:rPr>
                <w:sz w:val="18"/>
              </w:rPr>
              <w:t>114,5</w:t>
            </w:r>
          </w:p>
        </w:tc>
      </w:tr>
      <w:tr w:rsidR="003602F2" w14:paraId="299F36C4" w14:textId="77777777">
        <w:tblPrEx>
          <w:tblCellMar>
            <w:top w:w="0" w:type="dxa"/>
            <w:bottom w:w="0" w:type="dxa"/>
          </w:tblCellMar>
        </w:tblPrEx>
        <w:trPr>
          <w:cantSplit/>
          <w:trHeight w:val="560"/>
        </w:trPr>
        <w:tc>
          <w:tcPr>
            <w:tcW w:w="700" w:type="dxa"/>
            <w:tcMar>
              <w:top w:w="0" w:type="dxa"/>
              <w:bottom w:w="0" w:type="dxa"/>
            </w:tcMar>
            <w:vAlign w:val="center"/>
          </w:tcPr>
          <w:p w14:paraId="4428280C" w14:textId="77777777" w:rsidR="003602F2" w:rsidRDefault="003602F2">
            <w:pPr>
              <w:keepNext/>
              <w:keepLines/>
              <w:spacing w:after="0" w:line="240" w:lineRule="auto"/>
            </w:pPr>
          </w:p>
        </w:tc>
        <w:tc>
          <w:tcPr>
            <w:tcW w:w="3180" w:type="dxa"/>
            <w:tcMar>
              <w:top w:w="0" w:type="dxa"/>
              <w:bottom w:w="0" w:type="dxa"/>
            </w:tcMar>
            <w:vAlign w:val="center"/>
          </w:tcPr>
          <w:p w14:paraId="5395335E" w14:textId="77777777" w:rsidR="003602F2" w:rsidRDefault="008D1F8B">
            <w:pPr>
              <w:keepNext/>
              <w:keepLines/>
              <w:spacing w:after="0" w:line="240" w:lineRule="auto"/>
            </w:pPr>
            <w:r>
              <w:rPr>
                <w:b/>
                <w:sz w:val="18"/>
              </w:rPr>
              <w:t>VIŠAK PRIHODA POSLOVANJA (šifre 6-Z005)</w:t>
            </w:r>
          </w:p>
        </w:tc>
        <w:tc>
          <w:tcPr>
            <w:tcW w:w="700" w:type="dxa"/>
            <w:tcMar>
              <w:top w:w="0" w:type="dxa"/>
              <w:bottom w:w="0" w:type="dxa"/>
            </w:tcMar>
            <w:vAlign w:val="center"/>
          </w:tcPr>
          <w:p w14:paraId="1DE08347" w14:textId="77777777" w:rsidR="003602F2" w:rsidRDefault="008D1F8B">
            <w:pPr>
              <w:keepNext/>
              <w:keepLines/>
              <w:spacing w:after="0" w:line="240" w:lineRule="auto"/>
            </w:pPr>
            <w:r>
              <w:rPr>
                <w:b/>
                <w:sz w:val="18"/>
              </w:rPr>
              <w:t>X001</w:t>
            </w:r>
          </w:p>
        </w:tc>
        <w:tc>
          <w:tcPr>
            <w:tcW w:w="1860" w:type="dxa"/>
            <w:tcMar>
              <w:top w:w="0" w:type="dxa"/>
              <w:bottom w:w="0" w:type="dxa"/>
            </w:tcMar>
            <w:vAlign w:val="center"/>
          </w:tcPr>
          <w:p w14:paraId="4919045F" w14:textId="77777777" w:rsidR="003602F2" w:rsidRDefault="008D1F8B">
            <w:pPr>
              <w:keepNext/>
              <w:keepLines/>
              <w:spacing w:after="0" w:line="240" w:lineRule="auto"/>
              <w:jc w:val="right"/>
            </w:pPr>
            <w:r>
              <w:rPr>
                <w:b/>
                <w:sz w:val="18"/>
              </w:rPr>
              <w:t>0,00</w:t>
            </w:r>
          </w:p>
        </w:tc>
        <w:tc>
          <w:tcPr>
            <w:tcW w:w="1860" w:type="dxa"/>
            <w:tcMar>
              <w:top w:w="0" w:type="dxa"/>
              <w:bottom w:w="0" w:type="dxa"/>
            </w:tcMar>
            <w:vAlign w:val="center"/>
          </w:tcPr>
          <w:p w14:paraId="5FC99896" w14:textId="77777777" w:rsidR="003602F2" w:rsidRDefault="008D1F8B">
            <w:pPr>
              <w:keepNext/>
              <w:keepLines/>
              <w:spacing w:after="0" w:line="240" w:lineRule="auto"/>
              <w:jc w:val="right"/>
            </w:pPr>
            <w:r>
              <w:rPr>
                <w:b/>
                <w:sz w:val="18"/>
              </w:rPr>
              <w:t>588.440,67</w:t>
            </w:r>
          </w:p>
        </w:tc>
        <w:tc>
          <w:tcPr>
            <w:tcW w:w="700" w:type="dxa"/>
            <w:tcMar>
              <w:top w:w="0" w:type="dxa"/>
              <w:bottom w:w="0" w:type="dxa"/>
            </w:tcMar>
            <w:vAlign w:val="center"/>
          </w:tcPr>
          <w:p w14:paraId="53EF97CB" w14:textId="77777777" w:rsidR="003602F2" w:rsidRDefault="008D1F8B">
            <w:pPr>
              <w:keepNext/>
              <w:keepLines/>
              <w:spacing w:after="0" w:line="240" w:lineRule="auto"/>
              <w:jc w:val="right"/>
            </w:pPr>
            <w:r>
              <w:rPr>
                <w:b/>
                <w:sz w:val="18"/>
              </w:rPr>
              <w:t>-</w:t>
            </w:r>
          </w:p>
        </w:tc>
      </w:tr>
      <w:tr w:rsidR="003602F2" w14:paraId="7A2C14F2" w14:textId="77777777">
        <w:tblPrEx>
          <w:tblCellMar>
            <w:top w:w="0" w:type="dxa"/>
            <w:bottom w:w="0" w:type="dxa"/>
          </w:tblCellMar>
        </w:tblPrEx>
        <w:trPr>
          <w:cantSplit/>
          <w:trHeight w:val="560"/>
        </w:trPr>
        <w:tc>
          <w:tcPr>
            <w:tcW w:w="700" w:type="dxa"/>
            <w:tcMar>
              <w:top w:w="0" w:type="dxa"/>
              <w:bottom w:w="0" w:type="dxa"/>
            </w:tcMar>
            <w:vAlign w:val="center"/>
          </w:tcPr>
          <w:p w14:paraId="5C04C5E2" w14:textId="77777777" w:rsidR="003602F2" w:rsidRDefault="008D1F8B">
            <w:pPr>
              <w:keepNext/>
              <w:keepLines/>
              <w:spacing w:after="0" w:line="240" w:lineRule="auto"/>
            </w:pPr>
            <w:r>
              <w:rPr>
                <w:sz w:val="18"/>
              </w:rPr>
              <w:t>7</w:t>
            </w:r>
          </w:p>
        </w:tc>
        <w:tc>
          <w:tcPr>
            <w:tcW w:w="3180" w:type="dxa"/>
            <w:tcMar>
              <w:top w:w="0" w:type="dxa"/>
              <w:bottom w:w="0" w:type="dxa"/>
            </w:tcMar>
            <w:vAlign w:val="center"/>
          </w:tcPr>
          <w:p w14:paraId="3E285049" w14:textId="77777777" w:rsidR="003602F2" w:rsidRDefault="008D1F8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B9CCA8D" w14:textId="77777777" w:rsidR="003602F2" w:rsidRDefault="008D1F8B">
            <w:pPr>
              <w:keepNext/>
              <w:keepLines/>
              <w:spacing w:after="0" w:line="240" w:lineRule="auto"/>
            </w:pPr>
            <w:r>
              <w:rPr>
                <w:sz w:val="18"/>
              </w:rPr>
              <w:t>7</w:t>
            </w:r>
          </w:p>
        </w:tc>
        <w:tc>
          <w:tcPr>
            <w:tcW w:w="1860" w:type="dxa"/>
            <w:tcMar>
              <w:top w:w="0" w:type="dxa"/>
              <w:bottom w:w="0" w:type="dxa"/>
            </w:tcMar>
            <w:vAlign w:val="center"/>
          </w:tcPr>
          <w:p w14:paraId="39134862" w14:textId="77777777" w:rsidR="003602F2" w:rsidRDefault="008D1F8B">
            <w:pPr>
              <w:keepNext/>
              <w:keepLines/>
              <w:spacing w:after="0" w:line="240" w:lineRule="auto"/>
              <w:jc w:val="right"/>
            </w:pPr>
            <w:r>
              <w:rPr>
                <w:sz w:val="18"/>
              </w:rPr>
              <w:t>0,00</w:t>
            </w:r>
          </w:p>
        </w:tc>
        <w:tc>
          <w:tcPr>
            <w:tcW w:w="1860" w:type="dxa"/>
            <w:tcMar>
              <w:top w:w="0" w:type="dxa"/>
              <w:bottom w:w="0" w:type="dxa"/>
            </w:tcMar>
            <w:vAlign w:val="center"/>
          </w:tcPr>
          <w:p w14:paraId="33CCA42E" w14:textId="77777777" w:rsidR="003602F2" w:rsidRDefault="008D1F8B">
            <w:pPr>
              <w:keepNext/>
              <w:keepLines/>
              <w:spacing w:after="0" w:line="240" w:lineRule="auto"/>
              <w:jc w:val="right"/>
            </w:pPr>
            <w:r>
              <w:rPr>
                <w:sz w:val="18"/>
              </w:rPr>
              <w:t>0,00</w:t>
            </w:r>
          </w:p>
        </w:tc>
        <w:tc>
          <w:tcPr>
            <w:tcW w:w="700" w:type="dxa"/>
            <w:tcMar>
              <w:top w:w="0" w:type="dxa"/>
              <w:bottom w:w="0" w:type="dxa"/>
            </w:tcMar>
            <w:vAlign w:val="center"/>
          </w:tcPr>
          <w:p w14:paraId="4CC3449D" w14:textId="77777777" w:rsidR="003602F2" w:rsidRDefault="008D1F8B">
            <w:pPr>
              <w:keepNext/>
              <w:keepLines/>
              <w:spacing w:after="0" w:line="240" w:lineRule="auto"/>
              <w:jc w:val="right"/>
            </w:pPr>
            <w:r>
              <w:rPr>
                <w:sz w:val="18"/>
              </w:rPr>
              <w:t>-</w:t>
            </w:r>
          </w:p>
        </w:tc>
      </w:tr>
      <w:tr w:rsidR="003602F2" w14:paraId="5D74F39C" w14:textId="77777777">
        <w:tblPrEx>
          <w:tblCellMar>
            <w:top w:w="0" w:type="dxa"/>
            <w:bottom w:w="0" w:type="dxa"/>
          </w:tblCellMar>
        </w:tblPrEx>
        <w:trPr>
          <w:cantSplit/>
          <w:trHeight w:val="560"/>
        </w:trPr>
        <w:tc>
          <w:tcPr>
            <w:tcW w:w="700" w:type="dxa"/>
            <w:tcMar>
              <w:top w:w="0" w:type="dxa"/>
              <w:bottom w:w="0" w:type="dxa"/>
            </w:tcMar>
            <w:vAlign w:val="center"/>
          </w:tcPr>
          <w:p w14:paraId="082C86EC" w14:textId="77777777" w:rsidR="003602F2" w:rsidRDefault="008D1F8B">
            <w:pPr>
              <w:keepNext/>
              <w:keepLines/>
              <w:spacing w:after="0" w:line="240" w:lineRule="auto"/>
            </w:pPr>
            <w:r>
              <w:rPr>
                <w:sz w:val="18"/>
              </w:rPr>
              <w:t>4</w:t>
            </w:r>
          </w:p>
        </w:tc>
        <w:tc>
          <w:tcPr>
            <w:tcW w:w="3180" w:type="dxa"/>
            <w:tcMar>
              <w:top w:w="0" w:type="dxa"/>
              <w:bottom w:w="0" w:type="dxa"/>
            </w:tcMar>
            <w:vAlign w:val="center"/>
          </w:tcPr>
          <w:p w14:paraId="2F40BAB7" w14:textId="77777777" w:rsidR="003602F2" w:rsidRDefault="008D1F8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147D40C" w14:textId="77777777" w:rsidR="003602F2" w:rsidRDefault="008D1F8B">
            <w:pPr>
              <w:keepNext/>
              <w:keepLines/>
              <w:spacing w:after="0" w:line="240" w:lineRule="auto"/>
            </w:pPr>
            <w:r>
              <w:rPr>
                <w:sz w:val="18"/>
              </w:rPr>
              <w:t>4</w:t>
            </w:r>
          </w:p>
        </w:tc>
        <w:tc>
          <w:tcPr>
            <w:tcW w:w="1860" w:type="dxa"/>
            <w:tcMar>
              <w:top w:w="0" w:type="dxa"/>
              <w:bottom w:w="0" w:type="dxa"/>
            </w:tcMar>
            <w:vAlign w:val="center"/>
          </w:tcPr>
          <w:p w14:paraId="1B9EBAD6" w14:textId="77777777" w:rsidR="003602F2" w:rsidRDefault="008D1F8B">
            <w:pPr>
              <w:keepNext/>
              <w:keepLines/>
              <w:spacing w:after="0" w:line="240" w:lineRule="auto"/>
              <w:jc w:val="right"/>
            </w:pPr>
            <w:r>
              <w:rPr>
                <w:sz w:val="18"/>
              </w:rPr>
              <w:t>176.376,97</w:t>
            </w:r>
          </w:p>
        </w:tc>
        <w:tc>
          <w:tcPr>
            <w:tcW w:w="1860" w:type="dxa"/>
            <w:tcMar>
              <w:top w:w="0" w:type="dxa"/>
              <w:bottom w:w="0" w:type="dxa"/>
            </w:tcMar>
            <w:vAlign w:val="center"/>
          </w:tcPr>
          <w:p w14:paraId="33725B7D" w14:textId="77777777" w:rsidR="003602F2" w:rsidRDefault="008D1F8B">
            <w:pPr>
              <w:keepNext/>
              <w:keepLines/>
              <w:spacing w:after="0" w:line="240" w:lineRule="auto"/>
              <w:jc w:val="right"/>
            </w:pPr>
            <w:r>
              <w:rPr>
                <w:sz w:val="18"/>
              </w:rPr>
              <w:t>118.291,04</w:t>
            </w:r>
          </w:p>
        </w:tc>
        <w:tc>
          <w:tcPr>
            <w:tcW w:w="700" w:type="dxa"/>
            <w:tcMar>
              <w:top w:w="0" w:type="dxa"/>
              <w:bottom w:w="0" w:type="dxa"/>
            </w:tcMar>
            <w:vAlign w:val="center"/>
          </w:tcPr>
          <w:p w14:paraId="452CA9A5" w14:textId="77777777" w:rsidR="003602F2" w:rsidRDefault="008D1F8B">
            <w:pPr>
              <w:keepNext/>
              <w:keepLines/>
              <w:spacing w:after="0" w:line="240" w:lineRule="auto"/>
              <w:jc w:val="right"/>
            </w:pPr>
            <w:r>
              <w:rPr>
                <w:sz w:val="18"/>
              </w:rPr>
              <w:t>67,1</w:t>
            </w:r>
          </w:p>
        </w:tc>
      </w:tr>
      <w:tr w:rsidR="003602F2" w14:paraId="4E1791FD" w14:textId="77777777">
        <w:tblPrEx>
          <w:tblCellMar>
            <w:top w:w="0" w:type="dxa"/>
            <w:bottom w:w="0" w:type="dxa"/>
          </w:tblCellMar>
        </w:tblPrEx>
        <w:trPr>
          <w:cantSplit/>
          <w:trHeight w:val="560"/>
        </w:trPr>
        <w:tc>
          <w:tcPr>
            <w:tcW w:w="700" w:type="dxa"/>
            <w:tcMar>
              <w:top w:w="0" w:type="dxa"/>
              <w:bottom w:w="0" w:type="dxa"/>
            </w:tcMar>
            <w:vAlign w:val="center"/>
          </w:tcPr>
          <w:p w14:paraId="6AB28B40" w14:textId="77777777" w:rsidR="003602F2" w:rsidRDefault="003602F2">
            <w:pPr>
              <w:keepNext/>
              <w:keepLines/>
              <w:spacing w:after="0" w:line="240" w:lineRule="auto"/>
            </w:pPr>
          </w:p>
        </w:tc>
        <w:tc>
          <w:tcPr>
            <w:tcW w:w="3180" w:type="dxa"/>
            <w:tcMar>
              <w:top w:w="0" w:type="dxa"/>
              <w:bottom w:w="0" w:type="dxa"/>
            </w:tcMar>
            <w:vAlign w:val="center"/>
          </w:tcPr>
          <w:p w14:paraId="5E94FF73" w14:textId="77777777" w:rsidR="003602F2" w:rsidRDefault="008D1F8B">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518B985" w14:textId="77777777" w:rsidR="003602F2" w:rsidRDefault="008D1F8B">
            <w:pPr>
              <w:keepNext/>
              <w:keepLines/>
              <w:spacing w:after="0" w:line="240" w:lineRule="auto"/>
            </w:pPr>
            <w:r>
              <w:rPr>
                <w:b/>
                <w:sz w:val="18"/>
              </w:rPr>
              <w:t>Y002</w:t>
            </w:r>
          </w:p>
        </w:tc>
        <w:tc>
          <w:tcPr>
            <w:tcW w:w="1860" w:type="dxa"/>
            <w:tcMar>
              <w:top w:w="0" w:type="dxa"/>
              <w:bottom w:w="0" w:type="dxa"/>
            </w:tcMar>
            <w:vAlign w:val="center"/>
          </w:tcPr>
          <w:p w14:paraId="7091D584" w14:textId="77777777" w:rsidR="003602F2" w:rsidRDefault="008D1F8B">
            <w:pPr>
              <w:keepNext/>
              <w:keepLines/>
              <w:spacing w:after="0" w:line="240" w:lineRule="auto"/>
              <w:jc w:val="right"/>
            </w:pPr>
            <w:r>
              <w:rPr>
                <w:b/>
                <w:sz w:val="18"/>
              </w:rPr>
              <w:t>176.376,97</w:t>
            </w:r>
          </w:p>
        </w:tc>
        <w:tc>
          <w:tcPr>
            <w:tcW w:w="1860" w:type="dxa"/>
            <w:tcMar>
              <w:top w:w="0" w:type="dxa"/>
              <w:bottom w:w="0" w:type="dxa"/>
            </w:tcMar>
            <w:vAlign w:val="center"/>
          </w:tcPr>
          <w:p w14:paraId="25B91D9E" w14:textId="77777777" w:rsidR="003602F2" w:rsidRDefault="008D1F8B">
            <w:pPr>
              <w:keepNext/>
              <w:keepLines/>
              <w:spacing w:after="0" w:line="240" w:lineRule="auto"/>
              <w:jc w:val="right"/>
            </w:pPr>
            <w:r>
              <w:rPr>
                <w:b/>
                <w:sz w:val="18"/>
              </w:rPr>
              <w:t>118.291,04</w:t>
            </w:r>
          </w:p>
        </w:tc>
        <w:tc>
          <w:tcPr>
            <w:tcW w:w="700" w:type="dxa"/>
            <w:tcMar>
              <w:top w:w="0" w:type="dxa"/>
              <w:bottom w:w="0" w:type="dxa"/>
            </w:tcMar>
            <w:vAlign w:val="center"/>
          </w:tcPr>
          <w:p w14:paraId="49B20932" w14:textId="77777777" w:rsidR="003602F2" w:rsidRDefault="008D1F8B">
            <w:pPr>
              <w:keepNext/>
              <w:keepLines/>
              <w:spacing w:after="0" w:line="240" w:lineRule="auto"/>
              <w:jc w:val="right"/>
            </w:pPr>
            <w:r>
              <w:rPr>
                <w:b/>
                <w:sz w:val="18"/>
              </w:rPr>
              <w:t>67,1</w:t>
            </w:r>
          </w:p>
        </w:tc>
      </w:tr>
      <w:tr w:rsidR="003602F2" w14:paraId="2B6110BC" w14:textId="77777777">
        <w:tblPrEx>
          <w:tblCellMar>
            <w:top w:w="0" w:type="dxa"/>
            <w:bottom w:w="0" w:type="dxa"/>
          </w:tblCellMar>
        </w:tblPrEx>
        <w:trPr>
          <w:cantSplit/>
          <w:trHeight w:val="560"/>
        </w:trPr>
        <w:tc>
          <w:tcPr>
            <w:tcW w:w="700" w:type="dxa"/>
            <w:tcMar>
              <w:top w:w="0" w:type="dxa"/>
              <w:bottom w:w="0" w:type="dxa"/>
            </w:tcMar>
            <w:vAlign w:val="center"/>
          </w:tcPr>
          <w:p w14:paraId="7948740B" w14:textId="77777777" w:rsidR="003602F2" w:rsidRDefault="008D1F8B">
            <w:pPr>
              <w:keepNext/>
              <w:keepLines/>
              <w:spacing w:after="0" w:line="240" w:lineRule="auto"/>
            </w:pPr>
            <w:r>
              <w:rPr>
                <w:sz w:val="18"/>
              </w:rPr>
              <w:t>8</w:t>
            </w:r>
          </w:p>
        </w:tc>
        <w:tc>
          <w:tcPr>
            <w:tcW w:w="3180" w:type="dxa"/>
            <w:tcMar>
              <w:top w:w="0" w:type="dxa"/>
              <w:bottom w:w="0" w:type="dxa"/>
            </w:tcMar>
            <w:vAlign w:val="center"/>
          </w:tcPr>
          <w:p w14:paraId="6B98C1BB" w14:textId="77777777" w:rsidR="003602F2" w:rsidRDefault="008D1F8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E4D06F6" w14:textId="77777777" w:rsidR="003602F2" w:rsidRDefault="008D1F8B">
            <w:pPr>
              <w:keepNext/>
              <w:keepLines/>
              <w:spacing w:after="0" w:line="240" w:lineRule="auto"/>
            </w:pPr>
            <w:r>
              <w:rPr>
                <w:sz w:val="18"/>
              </w:rPr>
              <w:t>8</w:t>
            </w:r>
          </w:p>
        </w:tc>
        <w:tc>
          <w:tcPr>
            <w:tcW w:w="1860" w:type="dxa"/>
            <w:tcMar>
              <w:top w:w="0" w:type="dxa"/>
              <w:bottom w:w="0" w:type="dxa"/>
            </w:tcMar>
            <w:vAlign w:val="center"/>
          </w:tcPr>
          <w:p w14:paraId="4C10F816" w14:textId="77777777" w:rsidR="003602F2" w:rsidRDefault="008D1F8B">
            <w:pPr>
              <w:keepNext/>
              <w:keepLines/>
              <w:spacing w:after="0" w:line="240" w:lineRule="auto"/>
              <w:jc w:val="right"/>
            </w:pPr>
            <w:r>
              <w:rPr>
                <w:sz w:val="18"/>
              </w:rPr>
              <w:t>0,00</w:t>
            </w:r>
          </w:p>
        </w:tc>
        <w:tc>
          <w:tcPr>
            <w:tcW w:w="1860" w:type="dxa"/>
            <w:tcMar>
              <w:top w:w="0" w:type="dxa"/>
              <w:bottom w:w="0" w:type="dxa"/>
            </w:tcMar>
            <w:vAlign w:val="center"/>
          </w:tcPr>
          <w:p w14:paraId="420A5356" w14:textId="77777777" w:rsidR="003602F2" w:rsidRDefault="008D1F8B">
            <w:pPr>
              <w:keepNext/>
              <w:keepLines/>
              <w:spacing w:after="0" w:line="240" w:lineRule="auto"/>
              <w:jc w:val="right"/>
            </w:pPr>
            <w:r>
              <w:rPr>
                <w:sz w:val="18"/>
              </w:rPr>
              <w:t>0,00</w:t>
            </w:r>
          </w:p>
        </w:tc>
        <w:tc>
          <w:tcPr>
            <w:tcW w:w="700" w:type="dxa"/>
            <w:tcMar>
              <w:top w:w="0" w:type="dxa"/>
              <w:bottom w:w="0" w:type="dxa"/>
            </w:tcMar>
            <w:vAlign w:val="center"/>
          </w:tcPr>
          <w:p w14:paraId="212BE0F0" w14:textId="77777777" w:rsidR="003602F2" w:rsidRDefault="008D1F8B">
            <w:pPr>
              <w:keepNext/>
              <w:keepLines/>
              <w:spacing w:after="0" w:line="240" w:lineRule="auto"/>
              <w:jc w:val="right"/>
            </w:pPr>
            <w:r>
              <w:rPr>
                <w:sz w:val="18"/>
              </w:rPr>
              <w:t>-</w:t>
            </w:r>
          </w:p>
        </w:tc>
      </w:tr>
      <w:tr w:rsidR="003602F2" w14:paraId="2A263A20" w14:textId="77777777">
        <w:tblPrEx>
          <w:tblCellMar>
            <w:top w:w="0" w:type="dxa"/>
            <w:bottom w:w="0" w:type="dxa"/>
          </w:tblCellMar>
        </w:tblPrEx>
        <w:trPr>
          <w:cantSplit/>
          <w:trHeight w:val="560"/>
        </w:trPr>
        <w:tc>
          <w:tcPr>
            <w:tcW w:w="700" w:type="dxa"/>
            <w:tcMar>
              <w:top w:w="0" w:type="dxa"/>
              <w:bottom w:w="0" w:type="dxa"/>
            </w:tcMar>
            <w:vAlign w:val="center"/>
          </w:tcPr>
          <w:p w14:paraId="45CBC2F4" w14:textId="77777777" w:rsidR="003602F2" w:rsidRDefault="008D1F8B">
            <w:pPr>
              <w:keepNext/>
              <w:keepLines/>
              <w:spacing w:after="0" w:line="240" w:lineRule="auto"/>
            </w:pPr>
            <w:r>
              <w:rPr>
                <w:sz w:val="18"/>
              </w:rPr>
              <w:t>5</w:t>
            </w:r>
          </w:p>
        </w:tc>
        <w:tc>
          <w:tcPr>
            <w:tcW w:w="3180" w:type="dxa"/>
            <w:tcMar>
              <w:top w:w="0" w:type="dxa"/>
              <w:bottom w:w="0" w:type="dxa"/>
            </w:tcMar>
            <w:vAlign w:val="center"/>
          </w:tcPr>
          <w:p w14:paraId="3502EF7F" w14:textId="77777777" w:rsidR="003602F2" w:rsidRDefault="008D1F8B">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CAAA158" w14:textId="77777777" w:rsidR="003602F2" w:rsidRDefault="008D1F8B">
            <w:pPr>
              <w:keepNext/>
              <w:keepLines/>
              <w:spacing w:after="0" w:line="240" w:lineRule="auto"/>
            </w:pPr>
            <w:r>
              <w:rPr>
                <w:sz w:val="18"/>
              </w:rPr>
              <w:t>5</w:t>
            </w:r>
          </w:p>
        </w:tc>
        <w:tc>
          <w:tcPr>
            <w:tcW w:w="1860" w:type="dxa"/>
            <w:tcMar>
              <w:top w:w="0" w:type="dxa"/>
              <w:bottom w:w="0" w:type="dxa"/>
            </w:tcMar>
            <w:vAlign w:val="center"/>
          </w:tcPr>
          <w:p w14:paraId="48FC8E60" w14:textId="77777777" w:rsidR="003602F2" w:rsidRDefault="008D1F8B">
            <w:pPr>
              <w:keepNext/>
              <w:keepLines/>
              <w:spacing w:after="0" w:line="240" w:lineRule="auto"/>
              <w:jc w:val="right"/>
            </w:pPr>
            <w:r>
              <w:rPr>
                <w:sz w:val="18"/>
              </w:rPr>
              <w:t>0,00</w:t>
            </w:r>
          </w:p>
        </w:tc>
        <w:tc>
          <w:tcPr>
            <w:tcW w:w="1860" w:type="dxa"/>
            <w:tcMar>
              <w:top w:w="0" w:type="dxa"/>
              <w:bottom w:w="0" w:type="dxa"/>
            </w:tcMar>
            <w:vAlign w:val="center"/>
          </w:tcPr>
          <w:p w14:paraId="1BEED7D0" w14:textId="77777777" w:rsidR="003602F2" w:rsidRDefault="008D1F8B">
            <w:pPr>
              <w:keepNext/>
              <w:keepLines/>
              <w:spacing w:after="0" w:line="240" w:lineRule="auto"/>
              <w:jc w:val="right"/>
            </w:pPr>
            <w:r>
              <w:rPr>
                <w:sz w:val="18"/>
              </w:rPr>
              <w:t>0,00</w:t>
            </w:r>
          </w:p>
        </w:tc>
        <w:tc>
          <w:tcPr>
            <w:tcW w:w="700" w:type="dxa"/>
            <w:tcMar>
              <w:top w:w="0" w:type="dxa"/>
              <w:bottom w:w="0" w:type="dxa"/>
            </w:tcMar>
            <w:vAlign w:val="center"/>
          </w:tcPr>
          <w:p w14:paraId="34D9FF5C" w14:textId="77777777" w:rsidR="003602F2" w:rsidRDefault="008D1F8B">
            <w:pPr>
              <w:keepNext/>
              <w:keepLines/>
              <w:spacing w:after="0" w:line="240" w:lineRule="auto"/>
              <w:jc w:val="right"/>
            </w:pPr>
            <w:r>
              <w:rPr>
                <w:sz w:val="18"/>
              </w:rPr>
              <w:t>-</w:t>
            </w:r>
          </w:p>
        </w:tc>
      </w:tr>
      <w:tr w:rsidR="003602F2" w14:paraId="7B57306E" w14:textId="77777777">
        <w:tblPrEx>
          <w:tblCellMar>
            <w:top w:w="0" w:type="dxa"/>
            <w:bottom w:w="0" w:type="dxa"/>
          </w:tblCellMar>
        </w:tblPrEx>
        <w:trPr>
          <w:cantSplit/>
          <w:trHeight w:val="560"/>
        </w:trPr>
        <w:tc>
          <w:tcPr>
            <w:tcW w:w="700" w:type="dxa"/>
            <w:tcMar>
              <w:top w:w="0" w:type="dxa"/>
              <w:bottom w:w="0" w:type="dxa"/>
            </w:tcMar>
            <w:vAlign w:val="center"/>
          </w:tcPr>
          <w:p w14:paraId="17909EF7" w14:textId="77777777" w:rsidR="003602F2" w:rsidRDefault="003602F2">
            <w:pPr>
              <w:keepNext/>
              <w:keepLines/>
              <w:spacing w:after="0" w:line="240" w:lineRule="auto"/>
            </w:pPr>
          </w:p>
        </w:tc>
        <w:tc>
          <w:tcPr>
            <w:tcW w:w="3180" w:type="dxa"/>
            <w:tcMar>
              <w:top w:w="0" w:type="dxa"/>
              <w:bottom w:w="0" w:type="dxa"/>
            </w:tcMar>
            <w:vAlign w:val="center"/>
          </w:tcPr>
          <w:p w14:paraId="222F2C32" w14:textId="77777777" w:rsidR="003602F2" w:rsidRDefault="008D1F8B">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6BF3210" w14:textId="77777777" w:rsidR="003602F2" w:rsidRDefault="008D1F8B">
            <w:pPr>
              <w:keepNext/>
              <w:keepLines/>
              <w:spacing w:after="0" w:line="240" w:lineRule="auto"/>
            </w:pPr>
            <w:r>
              <w:rPr>
                <w:b/>
                <w:sz w:val="18"/>
              </w:rPr>
              <w:t>X003, Y003</w:t>
            </w:r>
          </w:p>
        </w:tc>
        <w:tc>
          <w:tcPr>
            <w:tcW w:w="1860" w:type="dxa"/>
            <w:tcMar>
              <w:top w:w="0" w:type="dxa"/>
              <w:bottom w:w="0" w:type="dxa"/>
            </w:tcMar>
            <w:vAlign w:val="center"/>
          </w:tcPr>
          <w:p w14:paraId="6FF0569E" w14:textId="77777777" w:rsidR="003602F2" w:rsidRDefault="008D1F8B">
            <w:pPr>
              <w:keepNext/>
              <w:keepLines/>
              <w:spacing w:after="0" w:line="240" w:lineRule="auto"/>
              <w:jc w:val="right"/>
            </w:pPr>
            <w:r>
              <w:rPr>
                <w:b/>
                <w:sz w:val="18"/>
              </w:rPr>
              <w:t>0,00</w:t>
            </w:r>
          </w:p>
        </w:tc>
        <w:tc>
          <w:tcPr>
            <w:tcW w:w="1860" w:type="dxa"/>
            <w:tcMar>
              <w:top w:w="0" w:type="dxa"/>
              <w:bottom w:w="0" w:type="dxa"/>
            </w:tcMar>
            <w:vAlign w:val="center"/>
          </w:tcPr>
          <w:p w14:paraId="7237DE30" w14:textId="77777777" w:rsidR="003602F2" w:rsidRDefault="008D1F8B">
            <w:pPr>
              <w:keepNext/>
              <w:keepLines/>
              <w:spacing w:after="0" w:line="240" w:lineRule="auto"/>
              <w:jc w:val="right"/>
            </w:pPr>
            <w:r>
              <w:rPr>
                <w:b/>
                <w:sz w:val="18"/>
              </w:rPr>
              <w:t>0,00</w:t>
            </w:r>
          </w:p>
        </w:tc>
        <w:tc>
          <w:tcPr>
            <w:tcW w:w="700" w:type="dxa"/>
            <w:tcMar>
              <w:top w:w="0" w:type="dxa"/>
              <w:bottom w:w="0" w:type="dxa"/>
            </w:tcMar>
            <w:vAlign w:val="center"/>
          </w:tcPr>
          <w:p w14:paraId="6453BBC4" w14:textId="77777777" w:rsidR="003602F2" w:rsidRDefault="008D1F8B">
            <w:pPr>
              <w:keepNext/>
              <w:keepLines/>
              <w:spacing w:after="0" w:line="240" w:lineRule="auto"/>
              <w:jc w:val="right"/>
            </w:pPr>
            <w:r>
              <w:rPr>
                <w:b/>
                <w:sz w:val="18"/>
              </w:rPr>
              <w:t>-</w:t>
            </w:r>
          </w:p>
        </w:tc>
      </w:tr>
      <w:tr w:rsidR="003602F2" w14:paraId="0D9A0883" w14:textId="77777777">
        <w:tblPrEx>
          <w:tblCellMar>
            <w:top w:w="0" w:type="dxa"/>
            <w:bottom w:w="0" w:type="dxa"/>
          </w:tblCellMar>
        </w:tblPrEx>
        <w:trPr>
          <w:cantSplit/>
          <w:trHeight w:val="560"/>
        </w:trPr>
        <w:tc>
          <w:tcPr>
            <w:tcW w:w="700" w:type="dxa"/>
            <w:tcMar>
              <w:top w:w="0" w:type="dxa"/>
              <w:bottom w:w="0" w:type="dxa"/>
            </w:tcMar>
            <w:vAlign w:val="center"/>
          </w:tcPr>
          <w:p w14:paraId="5AE9F12F" w14:textId="77777777" w:rsidR="003602F2" w:rsidRDefault="003602F2">
            <w:pPr>
              <w:keepNext/>
              <w:keepLines/>
              <w:spacing w:after="0" w:line="240" w:lineRule="auto"/>
            </w:pPr>
          </w:p>
        </w:tc>
        <w:tc>
          <w:tcPr>
            <w:tcW w:w="3180" w:type="dxa"/>
            <w:tcMar>
              <w:top w:w="0" w:type="dxa"/>
              <w:bottom w:w="0" w:type="dxa"/>
            </w:tcMar>
            <w:vAlign w:val="center"/>
          </w:tcPr>
          <w:p w14:paraId="5BD6706A" w14:textId="77777777" w:rsidR="003602F2" w:rsidRDefault="008D1F8B">
            <w:pPr>
              <w:keepNext/>
              <w:keepLines/>
              <w:spacing w:after="0" w:line="240" w:lineRule="auto"/>
            </w:pPr>
            <w:r>
              <w:rPr>
                <w:b/>
                <w:sz w:val="18"/>
              </w:rPr>
              <w:t>VIŠAK PRIHODA I PRIMITAKA (šifre X678-Y345)</w:t>
            </w:r>
          </w:p>
        </w:tc>
        <w:tc>
          <w:tcPr>
            <w:tcW w:w="700" w:type="dxa"/>
            <w:tcMar>
              <w:top w:w="0" w:type="dxa"/>
              <w:bottom w:w="0" w:type="dxa"/>
            </w:tcMar>
            <w:vAlign w:val="center"/>
          </w:tcPr>
          <w:p w14:paraId="4CA37244" w14:textId="77777777" w:rsidR="003602F2" w:rsidRDefault="008D1F8B">
            <w:pPr>
              <w:keepNext/>
              <w:keepLines/>
              <w:spacing w:after="0" w:line="240" w:lineRule="auto"/>
            </w:pPr>
            <w:r>
              <w:rPr>
                <w:b/>
                <w:sz w:val="18"/>
              </w:rPr>
              <w:t>X005</w:t>
            </w:r>
          </w:p>
        </w:tc>
        <w:tc>
          <w:tcPr>
            <w:tcW w:w="1860" w:type="dxa"/>
            <w:tcMar>
              <w:top w:w="0" w:type="dxa"/>
              <w:bottom w:w="0" w:type="dxa"/>
            </w:tcMar>
            <w:vAlign w:val="center"/>
          </w:tcPr>
          <w:p w14:paraId="356379CA" w14:textId="77777777" w:rsidR="003602F2" w:rsidRDefault="008D1F8B">
            <w:pPr>
              <w:keepNext/>
              <w:keepLines/>
              <w:spacing w:after="0" w:line="240" w:lineRule="auto"/>
              <w:jc w:val="right"/>
            </w:pPr>
            <w:r>
              <w:rPr>
                <w:b/>
                <w:sz w:val="18"/>
              </w:rPr>
              <w:t>0,00</w:t>
            </w:r>
          </w:p>
        </w:tc>
        <w:tc>
          <w:tcPr>
            <w:tcW w:w="1860" w:type="dxa"/>
            <w:tcMar>
              <w:top w:w="0" w:type="dxa"/>
              <w:bottom w:w="0" w:type="dxa"/>
            </w:tcMar>
            <w:vAlign w:val="center"/>
          </w:tcPr>
          <w:p w14:paraId="4444011D" w14:textId="77777777" w:rsidR="003602F2" w:rsidRDefault="008D1F8B">
            <w:pPr>
              <w:keepNext/>
              <w:keepLines/>
              <w:spacing w:after="0" w:line="240" w:lineRule="auto"/>
              <w:jc w:val="right"/>
            </w:pPr>
            <w:r>
              <w:rPr>
                <w:b/>
                <w:sz w:val="18"/>
              </w:rPr>
              <w:t>470.149,63</w:t>
            </w:r>
          </w:p>
        </w:tc>
        <w:tc>
          <w:tcPr>
            <w:tcW w:w="700" w:type="dxa"/>
            <w:tcMar>
              <w:top w:w="0" w:type="dxa"/>
              <w:bottom w:w="0" w:type="dxa"/>
            </w:tcMar>
            <w:vAlign w:val="center"/>
          </w:tcPr>
          <w:p w14:paraId="7FEBA15A" w14:textId="77777777" w:rsidR="003602F2" w:rsidRDefault="008D1F8B">
            <w:pPr>
              <w:keepNext/>
              <w:keepLines/>
              <w:spacing w:after="0" w:line="240" w:lineRule="auto"/>
              <w:jc w:val="right"/>
            </w:pPr>
            <w:r>
              <w:rPr>
                <w:b/>
                <w:sz w:val="18"/>
              </w:rPr>
              <w:t>-</w:t>
            </w:r>
          </w:p>
        </w:tc>
      </w:tr>
    </w:tbl>
    <w:p w14:paraId="69454528" w14:textId="77777777" w:rsidR="003602F2" w:rsidRDefault="003602F2">
      <w:pPr>
        <w:spacing w:after="0"/>
      </w:pPr>
    </w:p>
    <w:p w14:paraId="217AF8E2" w14:textId="77777777" w:rsidR="003602F2" w:rsidRDefault="008D1F8B">
      <w:pPr>
        <w:jc w:val="both"/>
      </w:pPr>
      <w:r>
        <w:t>U obrascu PR-RAS za izvještajno razdoblje iskazani su ukupni prihodi poslovanja u iznosu od 12.911.179,38 EURA, dok ukupni rashodi poslovanja iznose 12.322.738,71 EURA, čime je ostvaren višak prihoda poslovanja u iznosu od 588.440,67 EURA. Ostvaren je značajan financijski oporavak u odnosu na prethodnu godinu, u kojoj je iskazan manjak prihoda i primitaka. Viškom prihoda poslovanja pokriva se manjak prihoda od nefinancijske imovine u iznosu od 118.291,04 EURA. Ukupan višak prihoda i primitaka iznosi 470.149</w:t>
      </w:r>
      <w:r>
        <w:t xml:space="preserve">,63 EURA. </w:t>
      </w:r>
      <w:r>
        <w:lastRenderedPageBreak/>
        <w:t>Navedeni višak najvećim dijelom obuhvaća vlastite prihode od prodaje ulaznica i prihode za posebne namjene u ukupnom iznosu od 444.281,88 EURA. </w:t>
      </w:r>
    </w:p>
    <w:p w14:paraId="05AAB86B" w14:textId="77777777" w:rsidR="003602F2" w:rsidRDefault="008D1F8B">
      <w:pPr>
        <w:jc w:val="both"/>
      </w:pPr>
      <w:r>
        <w:t>Prema Sporazumu o pokriću dijela manjka prihoda i primitaka Kazališta, od 31. ožujka 2025. godine utvrđene su solidarne obveze Kazališta u iznosu od 105.000,00 EURA i Osnivača u iznosu od 164.991,30 EUR za podmirenje otvorenih obveza iz ranijih razdoblja nastalih za vrijeme bivše Uprave. Navedeni Sporazum činiti će sastavni dio Odluke o raspodjeli rezultata poslovanja za 2025.godinu. S pokrićem solidarnog dijela Sporazuma ostvarenje viška prihoda i primitaka na vanproračunskim izvorima nove Uprave iznosi 36</w:t>
      </w:r>
      <w:r>
        <w:t>5.149, 63 EURA.  </w:t>
      </w:r>
    </w:p>
    <w:p w14:paraId="01718AD6" w14:textId="77777777" w:rsidR="003602F2" w:rsidRDefault="008D1F8B">
      <w:pPr>
        <w:jc w:val="both"/>
      </w:pPr>
      <w:r>
        <w:rPr>
          <w:b/>
        </w:rPr>
        <w:t>Manjak prihoda iz 2024. godine u iznosu od 1.081.498,61 EUR umanjen je za ostvareni višak poslovanja u 2025. godini u iznosu od 470.149,63 EUR, kao i za iznos od 7.983,47 EUR, koji se odnosi na otpis obveza i potraživanja. Nakon navedenih korekcija, u 2025. godini iskazan je manjak poslovanja u iznosu od 603.365,51 EURA, koji je nastao kao posljedica metodološkog manjka. Do iskazivanja metodološkog manjka došlo je uslijed promjene načina evidentiranja kontinuiranih rashoda budućih razdoblja, sukladno Pravil</w:t>
      </w:r>
      <w:r>
        <w:rPr>
          <w:b/>
        </w:rPr>
        <w:t>niku o proračunskom računovodstvu i Računskom planu (Narodne novine, br. 158/23), čija se primjena u knjigovodstvenim evidencijama započela s 1. siječnja 2025. godine. Sukladno navedenim propisima, kontinuirani rashodi budućih razdoblja preneseni su s danom 1. siječnja 2025. godine na odgovarajuće račune razreda 3 – Rashodi poslovanja. Posljedično je u financijskim izvještajima iskazan rashod plaća za 13 mjeseci, uz istodobno priznanje prihoda za 12 mjeseci, čime je nastao vremenski nesrazmjer između eviden</w:t>
      </w:r>
      <w:r>
        <w:rPr>
          <w:b/>
        </w:rPr>
        <w:t>tiranih prihoda i rashoda. Tijekom 2025. godine evidentiranje prihoda i rashoda za plaće provedeno je u redovitom opsegu od 12 mjeseci. Međutim, razlika jednog mjeseca rashoda iz 2024. godine i nadalje se kumulativno iskazuje u financijskim izvještajima kao manjak, iako isti ne predstavlja stvarni financijski manjak Ustanove, već isključivo posljedicu nove metodologije evidentiranja rashoda.</w:t>
      </w:r>
    </w:p>
    <w:p w14:paraId="7BE7DC6D" w14:textId="77777777" w:rsidR="003602F2" w:rsidRDefault="008D1F8B">
      <w:pPr>
        <w:jc w:val="both"/>
      </w:pPr>
      <w:r>
        <w:rPr>
          <w:b/>
        </w:rPr>
        <w:t>Navedeni manjak nema utjecaja na likvidnost niti na financijsku stabilnost Kazališta, budući da ne proizlazi iz stvarno negativnog poslovanja, već iz činjenice da su određeni rashodi evidentirani u tekućem obračunskom razdoblju, dok će se prihodi za njihovo pokriće ostvariti u sljedećem obračunskom razdoblju.</w:t>
      </w:r>
    </w:p>
    <w:p w14:paraId="090033A5" w14:textId="77777777" w:rsidR="003602F2" w:rsidRDefault="008D1F8B">
      <w:pPr>
        <w:jc w:val="both"/>
      </w:pPr>
      <w:r>
        <w:t>U izvještajnom razdoblju nije bilo primitaka niti izdataka po osnovi financijske imovine i zaduživanja, što dodatno ukazuje na stabilno poslovanje bez dodatnog financijskog opterećenja.</w:t>
      </w:r>
    </w:p>
    <w:p w14:paraId="67C9EB20" w14:textId="77777777" w:rsidR="003602F2" w:rsidRDefault="008D1F8B">
      <w:pPr>
        <w:jc w:val="both"/>
      </w:pPr>
      <w:r>
        <w:t>Na dan sastavljanja financijskih izvještaja ustanova sudjeluje u više sudskih i drugih postupaka različite pravne prirode (kazneni, parnični, ovršni i prekršajni), pokrenutih u razdoblju od 2019. do 2025. godine. Navedeni postupci, prema trenutno dostupnim informacijama i procjenama pravne službe, ne predstavljaju izvjesne obveze, već se smatraju potencijalnim obvezama, čiji ishod u trenutku sastavljanja financijskih izvještaja nije moguće sa sigurnošću predvidjeti. </w:t>
      </w:r>
    </w:p>
    <w:p w14:paraId="484E0E94" w14:textId="77777777" w:rsidR="003602F2" w:rsidRDefault="008D1F8B">
      <w:pPr>
        <w:jc w:val="both"/>
      </w:pPr>
      <w:r>
        <w:t xml:space="preserve">U tijeku su dva kaznena postupka u kojima Hrvatsko narodno kazalište Ivana pl. Zajca Rijeka sudjeluje u svojstvu privatnog tužitelja. U kaznenom postupku pokrenutom 2022. godine </w:t>
      </w:r>
      <w:r>
        <w:lastRenderedPageBreak/>
        <w:t>(Općinski sud u Rijeci, predmet K-428/2022), u ovoj fazi nije moguće pouzdano prognozirati ishod postupka, pri čemu se ne očekuje nastanak negativnog financijskog  učinka za ustanovu.</w:t>
      </w:r>
      <w:r>
        <w:br/>
        <w:t>Drugi kazneni postupak pokrenut je 2019. godine (OS Rijeka, K-722/19), u kojem je iznos spora iznosio 3.255,03 EURA, međutim imovinskopravni zahtjev povučen je prema uputi stranke, zbog čega se ne očekuje daljnji financijski učinak po toj osnovi </w:t>
      </w:r>
    </w:p>
    <w:p w14:paraId="75922971" w14:textId="77777777" w:rsidR="003602F2" w:rsidRDefault="008D1F8B">
      <w:pPr>
        <w:jc w:val="both"/>
      </w:pPr>
      <w:r>
        <w:t>U 2025. godini pokrenut je ovršni postupak (Trgovački sud u Rijeci, Povrv-120/25), u kojem se kao ovrhovoditelj pojavljuje obrt JUGLART, vl. Emilio Jose Alcantara Veliz. Ovršni zahtjev odnosi se na glavnicu u iznosu od 2.270,00 EURA te troškove ovršnog postupka u iznosu od 275,00 EURA. Protiv rješenja o ovrsi podnesen je prigovor kojim se osporavaju i glavnica i troškovi, iz razloga što je predmetno potraživanje, prema navodima ustanove, već namireno. Slijedom navedenoga, u ovom trenutku ne može se sa sigur</w:t>
      </w:r>
      <w:r>
        <w:t>nošću utvrditi nastanak obveze po toj osnovi.</w:t>
      </w:r>
    </w:p>
    <w:p w14:paraId="034CC08D" w14:textId="77777777" w:rsidR="003602F2" w:rsidRDefault="008D1F8B">
      <w:pPr>
        <w:jc w:val="both"/>
      </w:pPr>
      <w:r>
        <w:t>U tijeku su i dva parnična postupka. Parnični postupak pokrenut 2024. godine (OS Rijeka, Pr-275/24) odnosi se na zahtjev za isplatu dijela plaće za razdoblje od 1. kolovoza 2020. do 28. veljače 2024., pri čemu iznos spora još nije precizno određen. Ustanova se u cijelosti protivi tužbenom zahtjevu.</w:t>
      </w:r>
      <w:r>
        <w:br/>
        <w:t>Drugi parnični postupak pokrenut je 2025. godine (OS Rijeka, Stalna služba Opatija, Pr-251/25), u kojem se potražuje iznos od 6.336,09 EURA, uvećan za zakonske zatezne kamate i troškove parničnog postupka. I u ovom slučaju ustanova se u cijelosti protivi tužbenom zahtjevu, a ishod postupka trenutačno nije moguće pouzdano procijeniti.</w:t>
      </w:r>
    </w:p>
    <w:p w14:paraId="3283954D" w14:textId="77777777" w:rsidR="003602F2" w:rsidRDefault="008D1F8B">
      <w:pPr>
        <w:jc w:val="both"/>
      </w:pPr>
      <w:r>
        <w:t>Osim navedenog, vođen je i prekršajni postupak pokrenut 2022. godine (OS Rijeka, Pp-5512/22) protiv ustanove kao pravne osobe i odgovorne osobe, a po optužbi Državnog inspektorata – Područnog ureda Rijeka. Navedenim postupkom donesena je presuda od 3. rujna 2025. godine kojom se optužba odbija zbog nastupa zastare prekršajnog progona, te isti nema financijskog učinka na poslovanje ustanove.</w:t>
      </w:r>
    </w:p>
    <w:p w14:paraId="7D0367AA" w14:textId="77777777" w:rsidR="003602F2" w:rsidRDefault="008D1F8B">
      <w:r>
        <w:t> </w:t>
      </w:r>
    </w:p>
    <w:p w14:paraId="06ACDA8D" w14:textId="77777777" w:rsidR="003602F2" w:rsidRDefault="008D1F8B">
      <w:r>
        <w:br/>
      </w:r>
    </w:p>
    <w:p w14:paraId="3048F504" w14:textId="77777777" w:rsidR="003602F2" w:rsidRDefault="008D1F8B">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34F8B4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EC7138"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C05837"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054552"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4120B2" w14:textId="77777777" w:rsidR="003602F2" w:rsidRDefault="008D1F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90388F" w14:textId="77777777" w:rsidR="003602F2" w:rsidRDefault="008D1F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D6B55E" w14:textId="77777777" w:rsidR="003602F2" w:rsidRDefault="008D1F8B">
            <w:pPr>
              <w:keepNext/>
              <w:keepLines/>
              <w:spacing w:after="0" w:line="240" w:lineRule="auto"/>
              <w:jc w:val="center"/>
            </w:pPr>
            <w:r>
              <w:rPr>
                <w:b/>
                <w:sz w:val="18"/>
              </w:rPr>
              <w:t>Indeks (%)</w:t>
            </w:r>
          </w:p>
        </w:tc>
      </w:tr>
      <w:tr w:rsidR="003602F2" w14:paraId="6BE08883" w14:textId="77777777">
        <w:tblPrEx>
          <w:tblCellMar>
            <w:top w:w="0" w:type="dxa"/>
            <w:bottom w:w="0" w:type="dxa"/>
          </w:tblCellMar>
        </w:tblPrEx>
        <w:trPr>
          <w:cantSplit/>
          <w:trHeight w:val="560"/>
        </w:trPr>
        <w:tc>
          <w:tcPr>
            <w:tcW w:w="700" w:type="dxa"/>
            <w:tcMar>
              <w:top w:w="0" w:type="dxa"/>
              <w:bottom w:w="0" w:type="dxa"/>
            </w:tcMar>
            <w:vAlign w:val="center"/>
          </w:tcPr>
          <w:p w14:paraId="443D44FD" w14:textId="77777777" w:rsidR="003602F2" w:rsidRDefault="008D1F8B">
            <w:pPr>
              <w:keepNext/>
              <w:keepLines/>
              <w:spacing w:after="0" w:line="240" w:lineRule="auto"/>
            </w:pPr>
            <w:r>
              <w:rPr>
                <w:sz w:val="18"/>
              </w:rPr>
              <w:t>6526</w:t>
            </w:r>
          </w:p>
        </w:tc>
        <w:tc>
          <w:tcPr>
            <w:tcW w:w="3180" w:type="dxa"/>
            <w:tcMar>
              <w:top w:w="0" w:type="dxa"/>
              <w:bottom w:w="0" w:type="dxa"/>
            </w:tcMar>
            <w:vAlign w:val="center"/>
          </w:tcPr>
          <w:p w14:paraId="7D8C64F0" w14:textId="77777777" w:rsidR="003602F2" w:rsidRDefault="008D1F8B">
            <w:pPr>
              <w:keepNext/>
              <w:keepLines/>
              <w:spacing w:after="0" w:line="240" w:lineRule="auto"/>
            </w:pPr>
            <w:r>
              <w:rPr>
                <w:sz w:val="18"/>
              </w:rPr>
              <w:t>Ostali nespomenuti prihodi</w:t>
            </w:r>
          </w:p>
        </w:tc>
        <w:tc>
          <w:tcPr>
            <w:tcW w:w="700" w:type="dxa"/>
            <w:tcMar>
              <w:top w:w="0" w:type="dxa"/>
              <w:bottom w:w="0" w:type="dxa"/>
            </w:tcMar>
            <w:vAlign w:val="center"/>
          </w:tcPr>
          <w:p w14:paraId="0E0952E3" w14:textId="77777777" w:rsidR="003602F2" w:rsidRDefault="008D1F8B">
            <w:pPr>
              <w:keepNext/>
              <w:keepLines/>
              <w:spacing w:after="0" w:line="240" w:lineRule="auto"/>
            </w:pPr>
            <w:r>
              <w:rPr>
                <w:sz w:val="18"/>
              </w:rPr>
              <w:t>6526</w:t>
            </w:r>
          </w:p>
        </w:tc>
        <w:tc>
          <w:tcPr>
            <w:tcW w:w="1860" w:type="dxa"/>
            <w:tcMar>
              <w:top w:w="0" w:type="dxa"/>
              <w:bottom w:w="0" w:type="dxa"/>
            </w:tcMar>
            <w:vAlign w:val="center"/>
          </w:tcPr>
          <w:p w14:paraId="16BD8025" w14:textId="77777777" w:rsidR="003602F2" w:rsidRDefault="008D1F8B">
            <w:pPr>
              <w:keepNext/>
              <w:keepLines/>
              <w:spacing w:after="0" w:line="240" w:lineRule="auto"/>
              <w:jc w:val="right"/>
            </w:pPr>
            <w:r>
              <w:rPr>
                <w:sz w:val="18"/>
              </w:rPr>
              <w:t>595.700,56</w:t>
            </w:r>
          </w:p>
        </w:tc>
        <w:tc>
          <w:tcPr>
            <w:tcW w:w="1860" w:type="dxa"/>
            <w:tcMar>
              <w:top w:w="0" w:type="dxa"/>
              <w:bottom w:w="0" w:type="dxa"/>
            </w:tcMar>
            <w:vAlign w:val="center"/>
          </w:tcPr>
          <w:p w14:paraId="7EE9CF53" w14:textId="77777777" w:rsidR="003602F2" w:rsidRDefault="008D1F8B">
            <w:pPr>
              <w:keepNext/>
              <w:keepLines/>
              <w:spacing w:after="0" w:line="240" w:lineRule="auto"/>
              <w:jc w:val="right"/>
            </w:pPr>
            <w:r>
              <w:rPr>
                <w:sz w:val="18"/>
              </w:rPr>
              <w:t>887.202,41</w:t>
            </w:r>
          </w:p>
        </w:tc>
        <w:tc>
          <w:tcPr>
            <w:tcW w:w="700" w:type="dxa"/>
            <w:tcMar>
              <w:top w:w="0" w:type="dxa"/>
              <w:bottom w:w="0" w:type="dxa"/>
            </w:tcMar>
            <w:vAlign w:val="center"/>
          </w:tcPr>
          <w:p w14:paraId="6AC392B8" w14:textId="77777777" w:rsidR="003602F2" w:rsidRDefault="008D1F8B">
            <w:pPr>
              <w:keepNext/>
              <w:keepLines/>
              <w:spacing w:after="0" w:line="240" w:lineRule="auto"/>
              <w:jc w:val="right"/>
            </w:pPr>
            <w:r>
              <w:rPr>
                <w:sz w:val="18"/>
              </w:rPr>
              <w:t>148,9</w:t>
            </w:r>
          </w:p>
        </w:tc>
      </w:tr>
    </w:tbl>
    <w:p w14:paraId="1FE20A78" w14:textId="77777777" w:rsidR="003602F2" w:rsidRDefault="003602F2">
      <w:pPr>
        <w:spacing w:after="0"/>
      </w:pPr>
    </w:p>
    <w:p w14:paraId="3DB86141" w14:textId="77777777" w:rsidR="003602F2" w:rsidRDefault="008D1F8B">
      <w:pPr>
        <w:jc w:val="both"/>
      </w:pPr>
      <w:r>
        <w:t>Od iznosa 887.202,41 EURA prihodi od ulaznica u tekućoj godini iznose 885.993,60 EURA ili 99,86%. Ukupni ostali nespomenuti prihodi u odnosu na poslovanje iz 2024. godine uvećani su za 48,9%,  navedeno je rezultat  većeg broja posjetitelja, povećanog interesa publike te realizacije bogatog i raznovrsnog programskog repertoara. </w:t>
      </w:r>
    </w:p>
    <w:p w14:paraId="6577D546" w14:textId="77777777" w:rsidR="003602F2" w:rsidRDefault="003602F2"/>
    <w:p w14:paraId="413DD664" w14:textId="77777777" w:rsidR="003602F2" w:rsidRDefault="008D1F8B">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549BF8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568CBF"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627419"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0CAE8A"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90943D" w14:textId="77777777" w:rsidR="003602F2" w:rsidRDefault="008D1F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93B329" w14:textId="77777777" w:rsidR="003602F2" w:rsidRDefault="008D1F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4D2548" w14:textId="77777777" w:rsidR="003602F2" w:rsidRDefault="008D1F8B">
            <w:pPr>
              <w:keepNext/>
              <w:keepLines/>
              <w:spacing w:after="0" w:line="240" w:lineRule="auto"/>
              <w:jc w:val="center"/>
            </w:pPr>
            <w:r>
              <w:rPr>
                <w:b/>
                <w:sz w:val="18"/>
              </w:rPr>
              <w:t>Indeks (%)</w:t>
            </w:r>
          </w:p>
        </w:tc>
      </w:tr>
      <w:tr w:rsidR="003602F2" w14:paraId="6A61101D" w14:textId="77777777">
        <w:tblPrEx>
          <w:tblCellMar>
            <w:top w:w="0" w:type="dxa"/>
            <w:bottom w:w="0" w:type="dxa"/>
          </w:tblCellMar>
        </w:tblPrEx>
        <w:trPr>
          <w:cantSplit/>
          <w:trHeight w:val="560"/>
        </w:trPr>
        <w:tc>
          <w:tcPr>
            <w:tcW w:w="700" w:type="dxa"/>
            <w:tcMar>
              <w:top w:w="0" w:type="dxa"/>
              <w:bottom w:w="0" w:type="dxa"/>
            </w:tcMar>
            <w:vAlign w:val="center"/>
          </w:tcPr>
          <w:p w14:paraId="7E99FD73" w14:textId="77777777" w:rsidR="003602F2" w:rsidRDefault="008D1F8B">
            <w:pPr>
              <w:keepNext/>
              <w:keepLines/>
              <w:spacing w:after="0" w:line="240" w:lineRule="auto"/>
            </w:pPr>
            <w:r>
              <w:rPr>
                <w:sz w:val="18"/>
              </w:rPr>
              <w:t>311</w:t>
            </w:r>
          </w:p>
        </w:tc>
        <w:tc>
          <w:tcPr>
            <w:tcW w:w="3180" w:type="dxa"/>
            <w:tcMar>
              <w:top w:w="0" w:type="dxa"/>
              <w:bottom w:w="0" w:type="dxa"/>
            </w:tcMar>
            <w:vAlign w:val="center"/>
          </w:tcPr>
          <w:p w14:paraId="749D1DA2" w14:textId="77777777" w:rsidR="003602F2" w:rsidRDefault="008D1F8B">
            <w:pPr>
              <w:keepNext/>
              <w:keepLines/>
              <w:spacing w:after="0" w:line="240" w:lineRule="auto"/>
            </w:pPr>
            <w:r>
              <w:rPr>
                <w:sz w:val="18"/>
              </w:rPr>
              <w:t>Plaće (bruto) (šifre 3111 do 3114)</w:t>
            </w:r>
          </w:p>
        </w:tc>
        <w:tc>
          <w:tcPr>
            <w:tcW w:w="700" w:type="dxa"/>
            <w:tcMar>
              <w:top w:w="0" w:type="dxa"/>
              <w:bottom w:w="0" w:type="dxa"/>
            </w:tcMar>
            <w:vAlign w:val="center"/>
          </w:tcPr>
          <w:p w14:paraId="4A86CF9B" w14:textId="77777777" w:rsidR="003602F2" w:rsidRDefault="008D1F8B">
            <w:pPr>
              <w:keepNext/>
              <w:keepLines/>
              <w:spacing w:after="0" w:line="240" w:lineRule="auto"/>
            </w:pPr>
            <w:r>
              <w:rPr>
                <w:sz w:val="18"/>
              </w:rPr>
              <w:t>311</w:t>
            </w:r>
          </w:p>
        </w:tc>
        <w:tc>
          <w:tcPr>
            <w:tcW w:w="1860" w:type="dxa"/>
            <w:tcMar>
              <w:top w:w="0" w:type="dxa"/>
              <w:bottom w:w="0" w:type="dxa"/>
            </w:tcMar>
            <w:vAlign w:val="center"/>
          </w:tcPr>
          <w:p w14:paraId="30D73B9C" w14:textId="77777777" w:rsidR="003602F2" w:rsidRDefault="008D1F8B">
            <w:pPr>
              <w:keepNext/>
              <w:keepLines/>
              <w:spacing w:after="0" w:line="240" w:lineRule="auto"/>
              <w:jc w:val="right"/>
            </w:pPr>
            <w:r>
              <w:rPr>
                <w:sz w:val="18"/>
              </w:rPr>
              <w:t>6.140.861,57</w:t>
            </w:r>
          </w:p>
        </w:tc>
        <w:tc>
          <w:tcPr>
            <w:tcW w:w="1860" w:type="dxa"/>
            <w:tcMar>
              <w:top w:w="0" w:type="dxa"/>
              <w:bottom w:w="0" w:type="dxa"/>
            </w:tcMar>
            <w:vAlign w:val="center"/>
          </w:tcPr>
          <w:p w14:paraId="4C16A264" w14:textId="77777777" w:rsidR="003602F2" w:rsidRDefault="008D1F8B">
            <w:pPr>
              <w:keepNext/>
              <w:keepLines/>
              <w:spacing w:after="0" w:line="240" w:lineRule="auto"/>
              <w:jc w:val="right"/>
            </w:pPr>
            <w:r>
              <w:rPr>
                <w:sz w:val="18"/>
              </w:rPr>
              <w:t>7.480.332,99</w:t>
            </w:r>
          </w:p>
        </w:tc>
        <w:tc>
          <w:tcPr>
            <w:tcW w:w="700" w:type="dxa"/>
            <w:tcMar>
              <w:top w:w="0" w:type="dxa"/>
              <w:bottom w:w="0" w:type="dxa"/>
            </w:tcMar>
            <w:vAlign w:val="center"/>
          </w:tcPr>
          <w:p w14:paraId="1B60C48D" w14:textId="77777777" w:rsidR="003602F2" w:rsidRDefault="008D1F8B">
            <w:pPr>
              <w:keepNext/>
              <w:keepLines/>
              <w:spacing w:after="0" w:line="240" w:lineRule="auto"/>
              <w:jc w:val="right"/>
            </w:pPr>
            <w:r>
              <w:rPr>
                <w:sz w:val="18"/>
              </w:rPr>
              <w:t>121,8</w:t>
            </w:r>
          </w:p>
        </w:tc>
      </w:tr>
    </w:tbl>
    <w:p w14:paraId="28B41FE6" w14:textId="77777777" w:rsidR="003602F2" w:rsidRDefault="003602F2">
      <w:pPr>
        <w:spacing w:after="0"/>
      </w:pPr>
    </w:p>
    <w:p w14:paraId="21387B98" w14:textId="77777777" w:rsidR="003602F2" w:rsidRDefault="008D1F8B">
      <w:pPr>
        <w:jc w:val="both"/>
      </w:pPr>
      <w:r>
        <w:t>Ostvareni rashodi na kontu 311 plaće u tekućoj godini povećani su za 21,8 % u odnosu na prethodnu godinu i iznose 7.480.332,99 eura, a posljedica su povećanja osnovice sukladno izmjenama Kolektivnog ugovora koje su stupile na snagu 1. travnja 2025. sa kojim je osnovica povećana na 1.000,00 eura bruto.</w:t>
      </w:r>
    </w:p>
    <w:p w14:paraId="0EEA432C" w14:textId="77777777" w:rsidR="003602F2" w:rsidRDefault="003602F2"/>
    <w:p w14:paraId="4C1FB75D" w14:textId="77777777" w:rsidR="003602F2" w:rsidRDefault="008D1F8B">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4AC060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CA5674"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63A105"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25007B"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9022FC" w14:textId="77777777" w:rsidR="003602F2" w:rsidRDefault="008D1F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9AEF24" w14:textId="77777777" w:rsidR="003602F2" w:rsidRDefault="008D1F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D530DC" w14:textId="77777777" w:rsidR="003602F2" w:rsidRDefault="008D1F8B">
            <w:pPr>
              <w:keepNext/>
              <w:keepLines/>
              <w:spacing w:after="0" w:line="240" w:lineRule="auto"/>
              <w:jc w:val="center"/>
            </w:pPr>
            <w:r>
              <w:rPr>
                <w:b/>
                <w:sz w:val="18"/>
              </w:rPr>
              <w:t>Indeks (%)</w:t>
            </w:r>
          </w:p>
        </w:tc>
      </w:tr>
      <w:tr w:rsidR="003602F2" w14:paraId="39BB0BCC" w14:textId="77777777">
        <w:tblPrEx>
          <w:tblCellMar>
            <w:top w:w="0" w:type="dxa"/>
            <w:bottom w:w="0" w:type="dxa"/>
          </w:tblCellMar>
        </w:tblPrEx>
        <w:trPr>
          <w:cantSplit/>
          <w:trHeight w:val="560"/>
        </w:trPr>
        <w:tc>
          <w:tcPr>
            <w:tcW w:w="700" w:type="dxa"/>
            <w:tcMar>
              <w:top w:w="0" w:type="dxa"/>
              <w:bottom w:w="0" w:type="dxa"/>
            </w:tcMar>
            <w:vAlign w:val="center"/>
          </w:tcPr>
          <w:p w14:paraId="5147F23B" w14:textId="77777777" w:rsidR="003602F2" w:rsidRDefault="008D1F8B">
            <w:pPr>
              <w:keepNext/>
              <w:keepLines/>
              <w:spacing w:after="0" w:line="240" w:lineRule="auto"/>
            </w:pPr>
            <w:r>
              <w:rPr>
                <w:sz w:val="18"/>
              </w:rPr>
              <w:t>3237</w:t>
            </w:r>
          </w:p>
        </w:tc>
        <w:tc>
          <w:tcPr>
            <w:tcW w:w="3180" w:type="dxa"/>
            <w:tcMar>
              <w:top w:w="0" w:type="dxa"/>
              <w:bottom w:w="0" w:type="dxa"/>
            </w:tcMar>
            <w:vAlign w:val="center"/>
          </w:tcPr>
          <w:p w14:paraId="502490EF" w14:textId="77777777" w:rsidR="003602F2" w:rsidRDefault="008D1F8B">
            <w:pPr>
              <w:keepNext/>
              <w:keepLines/>
              <w:spacing w:after="0" w:line="240" w:lineRule="auto"/>
            </w:pPr>
            <w:r>
              <w:rPr>
                <w:sz w:val="18"/>
              </w:rPr>
              <w:t>Intelektualne i osobne usluge</w:t>
            </w:r>
          </w:p>
        </w:tc>
        <w:tc>
          <w:tcPr>
            <w:tcW w:w="700" w:type="dxa"/>
            <w:tcMar>
              <w:top w:w="0" w:type="dxa"/>
              <w:bottom w:w="0" w:type="dxa"/>
            </w:tcMar>
            <w:vAlign w:val="center"/>
          </w:tcPr>
          <w:p w14:paraId="25D8EFF3" w14:textId="77777777" w:rsidR="003602F2" w:rsidRDefault="008D1F8B">
            <w:pPr>
              <w:keepNext/>
              <w:keepLines/>
              <w:spacing w:after="0" w:line="240" w:lineRule="auto"/>
            </w:pPr>
            <w:r>
              <w:rPr>
                <w:sz w:val="18"/>
              </w:rPr>
              <w:t>3237</w:t>
            </w:r>
          </w:p>
        </w:tc>
        <w:tc>
          <w:tcPr>
            <w:tcW w:w="1860" w:type="dxa"/>
            <w:tcMar>
              <w:top w:w="0" w:type="dxa"/>
              <w:bottom w:w="0" w:type="dxa"/>
            </w:tcMar>
            <w:vAlign w:val="center"/>
          </w:tcPr>
          <w:p w14:paraId="0E7A0FED" w14:textId="77777777" w:rsidR="003602F2" w:rsidRDefault="008D1F8B">
            <w:pPr>
              <w:keepNext/>
              <w:keepLines/>
              <w:spacing w:after="0" w:line="240" w:lineRule="auto"/>
              <w:jc w:val="right"/>
            </w:pPr>
            <w:r>
              <w:rPr>
                <w:sz w:val="18"/>
              </w:rPr>
              <w:t>1.362.260,44</w:t>
            </w:r>
          </w:p>
        </w:tc>
        <w:tc>
          <w:tcPr>
            <w:tcW w:w="1860" w:type="dxa"/>
            <w:tcMar>
              <w:top w:w="0" w:type="dxa"/>
              <w:bottom w:w="0" w:type="dxa"/>
            </w:tcMar>
            <w:vAlign w:val="center"/>
          </w:tcPr>
          <w:p w14:paraId="7BC1B7FB" w14:textId="77777777" w:rsidR="003602F2" w:rsidRDefault="008D1F8B">
            <w:pPr>
              <w:keepNext/>
              <w:keepLines/>
              <w:spacing w:after="0" w:line="240" w:lineRule="auto"/>
              <w:jc w:val="right"/>
            </w:pPr>
            <w:r>
              <w:rPr>
                <w:sz w:val="18"/>
              </w:rPr>
              <w:t>1.259.907,18</w:t>
            </w:r>
          </w:p>
        </w:tc>
        <w:tc>
          <w:tcPr>
            <w:tcW w:w="700" w:type="dxa"/>
            <w:tcMar>
              <w:top w:w="0" w:type="dxa"/>
              <w:bottom w:w="0" w:type="dxa"/>
            </w:tcMar>
            <w:vAlign w:val="center"/>
          </w:tcPr>
          <w:p w14:paraId="51BC23ED" w14:textId="77777777" w:rsidR="003602F2" w:rsidRDefault="008D1F8B">
            <w:pPr>
              <w:keepNext/>
              <w:keepLines/>
              <w:spacing w:after="0" w:line="240" w:lineRule="auto"/>
              <w:jc w:val="right"/>
            </w:pPr>
            <w:r>
              <w:rPr>
                <w:sz w:val="18"/>
              </w:rPr>
              <w:t>92,5</w:t>
            </w:r>
          </w:p>
        </w:tc>
      </w:tr>
    </w:tbl>
    <w:p w14:paraId="57C05CA3" w14:textId="77777777" w:rsidR="003602F2" w:rsidRDefault="003602F2">
      <w:pPr>
        <w:spacing w:after="0"/>
      </w:pPr>
    </w:p>
    <w:p w14:paraId="09AEB6A7" w14:textId="77777777" w:rsidR="003602F2" w:rsidRDefault="008D1F8B">
      <w:pPr>
        <w:jc w:val="both"/>
      </w:pPr>
      <w:r>
        <w:t>Ostvareni rashodi na kontu 3237 u tekućoj godini smanjeni su za 7,5 % u odnosu na prethodnu godinu, a posljedica su smanjenog obujma intelektualnih usluga, ponajprije autorskih honorara.</w:t>
      </w:r>
    </w:p>
    <w:p w14:paraId="0EA1EB8E" w14:textId="77777777" w:rsidR="003602F2" w:rsidRDefault="003602F2"/>
    <w:p w14:paraId="74D6539D" w14:textId="77777777" w:rsidR="003602F2" w:rsidRDefault="008D1F8B">
      <w:pPr>
        <w:keepNext/>
        <w:spacing w:line="240" w:lineRule="auto"/>
        <w:jc w:val="center"/>
      </w:pPr>
      <w:r>
        <w:rPr>
          <w:b/>
          <w:sz w:val="28"/>
        </w:rPr>
        <w:t>Bilanca</w:t>
      </w:r>
    </w:p>
    <w:p w14:paraId="5D52B49B" w14:textId="77777777" w:rsidR="003602F2" w:rsidRDefault="008D1F8B">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587E06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E780D7"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468C79"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7EC07"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769BF0" w14:textId="77777777" w:rsidR="003602F2" w:rsidRDefault="008D1F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492665" w14:textId="77777777" w:rsidR="003602F2" w:rsidRDefault="008D1F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52D338" w14:textId="77777777" w:rsidR="003602F2" w:rsidRDefault="008D1F8B">
            <w:pPr>
              <w:keepNext/>
              <w:keepLines/>
              <w:spacing w:after="0" w:line="240" w:lineRule="auto"/>
              <w:jc w:val="center"/>
            </w:pPr>
            <w:r>
              <w:rPr>
                <w:b/>
                <w:sz w:val="18"/>
              </w:rPr>
              <w:t>Indeks (%)</w:t>
            </w:r>
          </w:p>
        </w:tc>
      </w:tr>
      <w:tr w:rsidR="003602F2" w14:paraId="1E0F88CC" w14:textId="77777777">
        <w:tblPrEx>
          <w:tblCellMar>
            <w:top w:w="0" w:type="dxa"/>
            <w:bottom w:w="0" w:type="dxa"/>
          </w:tblCellMar>
        </w:tblPrEx>
        <w:trPr>
          <w:cantSplit/>
          <w:trHeight w:val="560"/>
        </w:trPr>
        <w:tc>
          <w:tcPr>
            <w:tcW w:w="700" w:type="dxa"/>
            <w:tcMar>
              <w:top w:w="0" w:type="dxa"/>
              <w:bottom w:w="0" w:type="dxa"/>
            </w:tcMar>
            <w:vAlign w:val="center"/>
          </w:tcPr>
          <w:p w14:paraId="75BED4D7" w14:textId="77777777" w:rsidR="003602F2" w:rsidRDefault="008D1F8B">
            <w:pPr>
              <w:keepNext/>
              <w:keepLines/>
              <w:spacing w:after="0" w:line="240" w:lineRule="auto"/>
            </w:pPr>
            <w:r>
              <w:rPr>
                <w:sz w:val="18"/>
              </w:rPr>
              <w:t>167</w:t>
            </w:r>
          </w:p>
        </w:tc>
        <w:tc>
          <w:tcPr>
            <w:tcW w:w="3180" w:type="dxa"/>
            <w:tcMar>
              <w:top w:w="0" w:type="dxa"/>
              <w:bottom w:w="0" w:type="dxa"/>
            </w:tcMar>
            <w:vAlign w:val="center"/>
          </w:tcPr>
          <w:p w14:paraId="34F831AB" w14:textId="77777777" w:rsidR="003602F2" w:rsidRDefault="008D1F8B">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309646D0" w14:textId="77777777" w:rsidR="003602F2" w:rsidRDefault="008D1F8B">
            <w:pPr>
              <w:keepNext/>
              <w:keepLines/>
              <w:spacing w:after="0" w:line="240" w:lineRule="auto"/>
            </w:pPr>
            <w:r>
              <w:rPr>
                <w:sz w:val="18"/>
              </w:rPr>
              <w:t>167</w:t>
            </w:r>
          </w:p>
        </w:tc>
        <w:tc>
          <w:tcPr>
            <w:tcW w:w="1860" w:type="dxa"/>
            <w:tcMar>
              <w:top w:w="0" w:type="dxa"/>
              <w:bottom w:w="0" w:type="dxa"/>
            </w:tcMar>
            <w:vAlign w:val="center"/>
          </w:tcPr>
          <w:p w14:paraId="10275D4D" w14:textId="77777777" w:rsidR="003602F2" w:rsidRDefault="008D1F8B">
            <w:pPr>
              <w:keepNext/>
              <w:keepLines/>
              <w:spacing w:after="0" w:line="240" w:lineRule="auto"/>
              <w:jc w:val="right"/>
            </w:pPr>
            <w:r>
              <w:rPr>
                <w:sz w:val="18"/>
              </w:rPr>
              <w:t>142.282,62</w:t>
            </w:r>
          </w:p>
        </w:tc>
        <w:tc>
          <w:tcPr>
            <w:tcW w:w="1860" w:type="dxa"/>
            <w:tcMar>
              <w:top w:w="0" w:type="dxa"/>
              <w:bottom w:w="0" w:type="dxa"/>
            </w:tcMar>
            <w:vAlign w:val="center"/>
          </w:tcPr>
          <w:p w14:paraId="51330E3D" w14:textId="77777777" w:rsidR="003602F2" w:rsidRDefault="008D1F8B">
            <w:pPr>
              <w:keepNext/>
              <w:keepLines/>
              <w:spacing w:after="0" w:line="240" w:lineRule="auto"/>
              <w:jc w:val="right"/>
            </w:pPr>
            <w:r>
              <w:rPr>
                <w:sz w:val="18"/>
              </w:rPr>
              <w:t>471.394,75</w:t>
            </w:r>
          </w:p>
        </w:tc>
        <w:tc>
          <w:tcPr>
            <w:tcW w:w="700" w:type="dxa"/>
            <w:tcMar>
              <w:top w:w="0" w:type="dxa"/>
              <w:bottom w:w="0" w:type="dxa"/>
            </w:tcMar>
            <w:vAlign w:val="center"/>
          </w:tcPr>
          <w:p w14:paraId="2EB62E00" w14:textId="77777777" w:rsidR="003602F2" w:rsidRDefault="008D1F8B">
            <w:pPr>
              <w:keepNext/>
              <w:keepLines/>
              <w:spacing w:after="0" w:line="240" w:lineRule="auto"/>
              <w:jc w:val="right"/>
            </w:pPr>
            <w:r>
              <w:rPr>
                <w:sz w:val="18"/>
              </w:rPr>
              <w:t>331,3</w:t>
            </w:r>
          </w:p>
        </w:tc>
      </w:tr>
    </w:tbl>
    <w:p w14:paraId="54FFC8EF" w14:textId="77777777" w:rsidR="003602F2" w:rsidRDefault="003602F2">
      <w:pPr>
        <w:spacing w:after="0"/>
      </w:pPr>
    </w:p>
    <w:p w14:paraId="73CC55F5" w14:textId="77777777" w:rsidR="003602F2" w:rsidRDefault="008D1F8B">
      <w:r>
        <w:t>Stanje poslovnog računa Kazališta na dan 31.12.2025. godine iznosi 471.394,75 EURA, što čini povećanje od 231,30% u odnosu na prethodno razdoblje.</w:t>
      </w:r>
    </w:p>
    <w:p w14:paraId="010A8FBE" w14:textId="77777777" w:rsidR="003602F2" w:rsidRDefault="003602F2"/>
    <w:p w14:paraId="0D3929B1" w14:textId="77777777" w:rsidR="003602F2" w:rsidRDefault="008D1F8B">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0B9414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013195"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D81501"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AB0DC"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4FDE89" w14:textId="77777777" w:rsidR="003602F2" w:rsidRDefault="008D1F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18F5ED" w14:textId="77777777" w:rsidR="003602F2" w:rsidRDefault="008D1F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9F5BDD" w14:textId="77777777" w:rsidR="003602F2" w:rsidRDefault="008D1F8B">
            <w:pPr>
              <w:keepNext/>
              <w:keepLines/>
              <w:spacing w:after="0" w:line="240" w:lineRule="auto"/>
              <w:jc w:val="center"/>
            </w:pPr>
            <w:r>
              <w:rPr>
                <w:b/>
                <w:sz w:val="18"/>
              </w:rPr>
              <w:t>Indeks (%)</w:t>
            </w:r>
          </w:p>
        </w:tc>
      </w:tr>
      <w:tr w:rsidR="003602F2" w14:paraId="2FEF2BBA" w14:textId="77777777">
        <w:tblPrEx>
          <w:tblCellMar>
            <w:top w:w="0" w:type="dxa"/>
            <w:bottom w:w="0" w:type="dxa"/>
          </w:tblCellMar>
        </w:tblPrEx>
        <w:trPr>
          <w:cantSplit/>
          <w:trHeight w:val="560"/>
        </w:trPr>
        <w:tc>
          <w:tcPr>
            <w:tcW w:w="700" w:type="dxa"/>
            <w:tcMar>
              <w:top w:w="0" w:type="dxa"/>
              <w:bottom w:w="0" w:type="dxa"/>
            </w:tcMar>
            <w:vAlign w:val="center"/>
          </w:tcPr>
          <w:p w14:paraId="4AD651CB" w14:textId="77777777" w:rsidR="003602F2" w:rsidRDefault="003602F2">
            <w:pPr>
              <w:keepNext/>
              <w:keepLines/>
              <w:spacing w:after="0" w:line="240" w:lineRule="auto"/>
            </w:pPr>
          </w:p>
        </w:tc>
        <w:tc>
          <w:tcPr>
            <w:tcW w:w="3180" w:type="dxa"/>
            <w:tcMar>
              <w:top w:w="0" w:type="dxa"/>
              <w:bottom w:w="0" w:type="dxa"/>
            </w:tcMar>
            <w:vAlign w:val="center"/>
          </w:tcPr>
          <w:p w14:paraId="1B0CBDFA" w14:textId="77777777" w:rsidR="003602F2" w:rsidRDefault="008D1F8B">
            <w:pPr>
              <w:keepNext/>
              <w:keepLines/>
              <w:spacing w:after="0" w:line="240" w:lineRule="auto"/>
            </w:pPr>
            <w:r>
              <w:rPr>
                <w:sz w:val="18"/>
              </w:rPr>
              <w:t>OBVEZE I VLASTITI IZVORI (šifre 2+9)</w:t>
            </w:r>
          </w:p>
        </w:tc>
        <w:tc>
          <w:tcPr>
            <w:tcW w:w="700" w:type="dxa"/>
            <w:tcMar>
              <w:top w:w="0" w:type="dxa"/>
              <w:bottom w:w="0" w:type="dxa"/>
            </w:tcMar>
            <w:vAlign w:val="center"/>
          </w:tcPr>
          <w:p w14:paraId="52E0E281" w14:textId="77777777" w:rsidR="003602F2" w:rsidRDefault="008D1F8B">
            <w:pPr>
              <w:keepNext/>
              <w:keepLines/>
              <w:spacing w:after="0" w:line="240" w:lineRule="auto"/>
            </w:pPr>
            <w:r>
              <w:rPr>
                <w:sz w:val="18"/>
              </w:rPr>
              <w:t>B003</w:t>
            </w:r>
          </w:p>
        </w:tc>
        <w:tc>
          <w:tcPr>
            <w:tcW w:w="1860" w:type="dxa"/>
            <w:tcMar>
              <w:top w:w="0" w:type="dxa"/>
              <w:bottom w:w="0" w:type="dxa"/>
            </w:tcMar>
            <w:vAlign w:val="center"/>
          </w:tcPr>
          <w:p w14:paraId="185E6208" w14:textId="77777777" w:rsidR="003602F2" w:rsidRDefault="008D1F8B">
            <w:pPr>
              <w:keepNext/>
              <w:keepLines/>
              <w:spacing w:after="0" w:line="240" w:lineRule="auto"/>
              <w:jc w:val="right"/>
            </w:pPr>
            <w:r>
              <w:rPr>
                <w:sz w:val="18"/>
              </w:rPr>
              <w:t>524.351,55</w:t>
            </w:r>
          </w:p>
        </w:tc>
        <w:tc>
          <w:tcPr>
            <w:tcW w:w="1860" w:type="dxa"/>
            <w:tcMar>
              <w:top w:w="0" w:type="dxa"/>
              <w:bottom w:w="0" w:type="dxa"/>
            </w:tcMar>
            <w:vAlign w:val="center"/>
          </w:tcPr>
          <w:p w14:paraId="77E38759" w14:textId="77777777" w:rsidR="003602F2" w:rsidRDefault="008D1F8B">
            <w:pPr>
              <w:keepNext/>
              <w:keepLines/>
              <w:spacing w:after="0" w:line="240" w:lineRule="auto"/>
              <w:jc w:val="right"/>
            </w:pPr>
            <w:r>
              <w:rPr>
                <w:sz w:val="18"/>
              </w:rPr>
              <w:t>853.449,55</w:t>
            </w:r>
          </w:p>
        </w:tc>
        <w:tc>
          <w:tcPr>
            <w:tcW w:w="700" w:type="dxa"/>
            <w:tcMar>
              <w:top w:w="0" w:type="dxa"/>
              <w:bottom w:w="0" w:type="dxa"/>
            </w:tcMar>
            <w:vAlign w:val="center"/>
          </w:tcPr>
          <w:p w14:paraId="6ECC553E" w14:textId="77777777" w:rsidR="003602F2" w:rsidRDefault="008D1F8B">
            <w:pPr>
              <w:keepNext/>
              <w:keepLines/>
              <w:spacing w:after="0" w:line="240" w:lineRule="auto"/>
              <w:jc w:val="right"/>
            </w:pPr>
            <w:r>
              <w:rPr>
                <w:sz w:val="18"/>
              </w:rPr>
              <w:t>162,8</w:t>
            </w:r>
          </w:p>
        </w:tc>
      </w:tr>
    </w:tbl>
    <w:p w14:paraId="056D5052" w14:textId="77777777" w:rsidR="003602F2" w:rsidRDefault="003602F2">
      <w:pPr>
        <w:spacing w:after="0"/>
      </w:pPr>
    </w:p>
    <w:p w14:paraId="4DAF13C8" w14:textId="77777777" w:rsidR="003602F2" w:rsidRDefault="008D1F8B">
      <w:pPr>
        <w:jc w:val="both"/>
      </w:pPr>
      <w:r>
        <w:lastRenderedPageBreak/>
        <w:t>HNK Ivan pl. Zajc na dan 31. prosinca 2025.godine ima ukupan iznos aktive i pasive u iznosu od 853.449.55 što je povećanje od 62,80 % u odnosu na 2024. godinu. U 2025. godini HNK Ivan pl. Zajc ostvario je značajno povećanje novčanih sredstava na poslovnom računu i vlastitih izvora, što pokazuje bolju likvidnost i financijsku stabilnost u odnosu na 2024. godinu.</w:t>
      </w:r>
    </w:p>
    <w:p w14:paraId="5096D01F" w14:textId="77777777" w:rsidR="003602F2" w:rsidRDefault="008D1F8B">
      <w:pPr>
        <w:jc w:val="both"/>
      </w:pPr>
      <w:r>
        <w:t>Prema evidenciji popisa inventure zadnje postupanje po pitanju provedbe knjigovodstvene evidencije bilo je prema Odluci čelnika od 15.01.2019. godine, da se zbog neispravnog upisa sredstva daje nalog računovodstvenoj službi za isknjiženje predmeta popisa imovine sa „osnovnog sredstva“ na „sitni inventar“ za sredstva uporabne vrijednosti. Za sredstva bez uporabne vrijednosti naložilo se računovodstvenoj službi da se pokrene procedura i prijedlog za otpis sitnog inventara zaključno sa isknjiženjem u poslovnim</w:t>
      </w:r>
      <w:r>
        <w:t xml:space="preserve"> knjigama.</w:t>
      </w:r>
    </w:p>
    <w:p w14:paraId="44BB27C1" w14:textId="77777777" w:rsidR="003602F2" w:rsidRDefault="008D1F8B">
      <w:pPr>
        <w:jc w:val="both"/>
      </w:pPr>
      <w:r>
        <w:t>U 2025. godini pristupilo se provedbi inventure koja je i u cijelost knjigovodstvena provedena. Prema prijedlogu središnje komisije donesene su Odluke o rashodu 740 artikala iz popisa imovine koji više nisu u uporabi. Tijekom izvještajnog razdoblja proveden je i obračun ispravka vrijednosti rashodovane dugotrajne imovine u iznosu od 33.223,91 EUR, čime je osigurano usklađenje knjigovodstvene vrijednosti s njezinim stvarnim stanjem i točan prikaz imovine u bilanci. </w:t>
      </w:r>
    </w:p>
    <w:p w14:paraId="5AF0DF91" w14:textId="77777777" w:rsidR="003602F2" w:rsidRDefault="003602F2"/>
    <w:p w14:paraId="65BDB050" w14:textId="77777777" w:rsidR="003602F2" w:rsidRDefault="008D1F8B">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2783EC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21E9D2"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13E152"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B8044B"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9949A" w14:textId="77777777" w:rsidR="003602F2" w:rsidRDefault="008D1F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16AC3D" w14:textId="77777777" w:rsidR="003602F2" w:rsidRDefault="008D1F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DA8743" w14:textId="77777777" w:rsidR="003602F2" w:rsidRDefault="008D1F8B">
            <w:pPr>
              <w:keepNext/>
              <w:keepLines/>
              <w:spacing w:after="0" w:line="240" w:lineRule="auto"/>
              <w:jc w:val="center"/>
            </w:pPr>
            <w:r>
              <w:rPr>
                <w:b/>
                <w:sz w:val="18"/>
              </w:rPr>
              <w:t>Indeks (%)</w:t>
            </w:r>
          </w:p>
        </w:tc>
      </w:tr>
      <w:tr w:rsidR="003602F2" w14:paraId="61A22061" w14:textId="77777777">
        <w:tblPrEx>
          <w:tblCellMar>
            <w:top w:w="0" w:type="dxa"/>
            <w:bottom w:w="0" w:type="dxa"/>
          </w:tblCellMar>
        </w:tblPrEx>
        <w:trPr>
          <w:cantSplit/>
          <w:trHeight w:val="560"/>
        </w:trPr>
        <w:tc>
          <w:tcPr>
            <w:tcW w:w="700" w:type="dxa"/>
            <w:tcMar>
              <w:top w:w="0" w:type="dxa"/>
              <w:bottom w:w="0" w:type="dxa"/>
            </w:tcMar>
            <w:vAlign w:val="center"/>
          </w:tcPr>
          <w:p w14:paraId="0B1F8D86" w14:textId="77777777" w:rsidR="003602F2" w:rsidRDefault="008D1F8B">
            <w:pPr>
              <w:keepNext/>
              <w:keepLines/>
              <w:spacing w:after="0" w:line="240" w:lineRule="auto"/>
            </w:pPr>
            <w:r>
              <w:rPr>
                <w:sz w:val="18"/>
              </w:rPr>
              <w:t>2</w:t>
            </w:r>
          </w:p>
        </w:tc>
        <w:tc>
          <w:tcPr>
            <w:tcW w:w="3180" w:type="dxa"/>
            <w:tcMar>
              <w:top w:w="0" w:type="dxa"/>
              <w:bottom w:w="0" w:type="dxa"/>
            </w:tcMar>
            <w:vAlign w:val="center"/>
          </w:tcPr>
          <w:p w14:paraId="5485117D" w14:textId="77777777" w:rsidR="003602F2" w:rsidRDefault="008D1F8B">
            <w:pPr>
              <w:keepNext/>
              <w:keepLines/>
              <w:spacing w:after="0" w:line="240" w:lineRule="auto"/>
            </w:pPr>
            <w:r>
              <w:rPr>
                <w:sz w:val="18"/>
              </w:rPr>
              <w:t>Obveze (šifre 23+24+25+26+27+29)</w:t>
            </w:r>
          </w:p>
        </w:tc>
        <w:tc>
          <w:tcPr>
            <w:tcW w:w="700" w:type="dxa"/>
            <w:tcMar>
              <w:top w:w="0" w:type="dxa"/>
              <w:bottom w:w="0" w:type="dxa"/>
            </w:tcMar>
            <w:vAlign w:val="center"/>
          </w:tcPr>
          <w:p w14:paraId="0FFCD103" w14:textId="77777777" w:rsidR="003602F2" w:rsidRDefault="008D1F8B">
            <w:pPr>
              <w:keepNext/>
              <w:keepLines/>
              <w:spacing w:after="0" w:line="240" w:lineRule="auto"/>
            </w:pPr>
            <w:r>
              <w:rPr>
                <w:sz w:val="18"/>
              </w:rPr>
              <w:t>2</w:t>
            </w:r>
          </w:p>
        </w:tc>
        <w:tc>
          <w:tcPr>
            <w:tcW w:w="1860" w:type="dxa"/>
            <w:tcMar>
              <w:top w:w="0" w:type="dxa"/>
              <w:bottom w:w="0" w:type="dxa"/>
            </w:tcMar>
            <w:vAlign w:val="center"/>
          </w:tcPr>
          <w:p w14:paraId="70EB2971" w14:textId="77777777" w:rsidR="003602F2" w:rsidRDefault="008D1F8B">
            <w:pPr>
              <w:keepNext/>
              <w:keepLines/>
              <w:spacing w:after="0" w:line="240" w:lineRule="auto"/>
              <w:jc w:val="right"/>
            </w:pPr>
            <w:r>
              <w:rPr>
                <w:sz w:val="18"/>
              </w:rPr>
              <w:t>1.253.040,82</w:t>
            </w:r>
          </w:p>
        </w:tc>
        <w:tc>
          <w:tcPr>
            <w:tcW w:w="1860" w:type="dxa"/>
            <w:tcMar>
              <w:top w:w="0" w:type="dxa"/>
              <w:bottom w:w="0" w:type="dxa"/>
            </w:tcMar>
            <w:vAlign w:val="center"/>
          </w:tcPr>
          <w:p w14:paraId="08A1CD97" w14:textId="77777777" w:rsidR="003602F2" w:rsidRDefault="008D1F8B">
            <w:pPr>
              <w:keepNext/>
              <w:keepLines/>
              <w:spacing w:after="0" w:line="240" w:lineRule="auto"/>
              <w:jc w:val="right"/>
            </w:pPr>
            <w:r>
              <w:rPr>
                <w:sz w:val="18"/>
              </w:rPr>
              <w:t>1.114.958,35</w:t>
            </w:r>
          </w:p>
        </w:tc>
        <w:tc>
          <w:tcPr>
            <w:tcW w:w="700" w:type="dxa"/>
            <w:tcMar>
              <w:top w:w="0" w:type="dxa"/>
              <w:bottom w:w="0" w:type="dxa"/>
            </w:tcMar>
            <w:vAlign w:val="center"/>
          </w:tcPr>
          <w:p w14:paraId="4258BEF2" w14:textId="77777777" w:rsidR="003602F2" w:rsidRDefault="008D1F8B">
            <w:pPr>
              <w:keepNext/>
              <w:keepLines/>
              <w:spacing w:after="0" w:line="240" w:lineRule="auto"/>
              <w:jc w:val="right"/>
            </w:pPr>
            <w:r>
              <w:rPr>
                <w:sz w:val="18"/>
              </w:rPr>
              <w:t>89,0</w:t>
            </w:r>
          </w:p>
        </w:tc>
      </w:tr>
    </w:tbl>
    <w:p w14:paraId="23C11A9B" w14:textId="77777777" w:rsidR="003602F2" w:rsidRDefault="003602F2">
      <w:pPr>
        <w:spacing w:after="0"/>
      </w:pPr>
    </w:p>
    <w:p w14:paraId="42267F54" w14:textId="77777777" w:rsidR="003602F2" w:rsidRDefault="008D1F8B">
      <w:pPr>
        <w:jc w:val="both"/>
      </w:pPr>
      <w:r>
        <w:t>Na dan 31. prosinca 2025. godine ukupne obveze iznose 1.114.958,35 EURA, što predstavlja smanjenje obveza za 138.082,47 EURA u odnosu na početak razdoblja kada su iznosile 1.253.040,82 EURA. Smanjenje od 11% ukupnih obveza rezultat je urednog i pravodobnog podmirivanja obveza tijekom izvještajnog razdoblja, osobito obveza prema dobavljačima i po osnovi nabave nefinancijske imovine. Istodobno, dio obveza za zaposlene evidentiran je krajem godine sukladno obračunu plaća i pripadajućih davanja, što je uobičaje</w:t>
      </w:r>
      <w:r>
        <w:t>no u proračunskom računovodstvu. </w:t>
      </w:r>
    </w:p>
    <w:p w14:paraId="59EF9D3E" w14:textId="77777777" w:rsidR="003602F2" w:rsidRDefault="008D1F8B">
      <w:pPr>
        <w:jc w:val="both"/>
      </w:pPr>
      <w:r>
        <w:t>Struktura obveza na kraju izvještajnog razdoblja ukazuje na stabilnu likvidnost ustanove, bez značajnih dugoročnih ili sporno dospjelih obveza.</w:t>
      </w:r>
    </w:p>
    <w:p w14:paraId="58704AA9" w14:textId="77777777" w:rsidR="003602F2" w:rsidRDefault="008D1F8B">
      <w:pPr>
        <w:jc w:val="both"/>
      </w:pPr>
      <w:r>
        <w:t> </w:t>
      </w:r>
    </w:p>
    <w:p w14:paraId="66ED07E3" w14:textId="77777777" w:rsidR="003602F2" w:rsidRDefault="003602F2"/>
    <w:p w14:paraId="2E548F25" w14:textId="77777777" w:rsidR="003602F2" w:rsidRDefault="008D1F8B">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7789AF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0445B2"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F2B3E7"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C70AC"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B4277" w14:textId="77777777" w:rsidR="003602F2" w:rsidRDefault="008D1F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2189C0" w14:textId="77777777" w:rsidR="003602F2" w:rsidRDefault="008D1F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AE5F44" w14:textId="77777777" w:rsidR="003602F2" w:rsidRDefault="008D1F8B">
            <w:pPr>
              <w:keepNext/>
              <w:keepLines/>
              <w:spacing w:after="0" w:line="240" w:lineRule="auto"/>
              <w:jc w:val="center"/>
            </w:pPr>
            <w:r>
              <w:rPr>
                <w:b/>
                <w:sz w:val="18"/>
              </w:rPr>
              <w:t>Indeks (%)</w:t>
            </w:r>
          </w:p>
        </w:tc>
      </w:tr>
      <w:tr w:rsidR="003602F2" w14:paraId="24BADE74" w14:textId="77777777">
        <w:tblPrEx>
          <w:tblCellMar>
            <w:top w:w="0" w:type="dxa"/>
            <w:bottom w:w="0" w:type="dxa"/>
          </w:tblCellMar>
        </w:tblPrEx>
        <w:trPr>
          <w:cantSplit/>
          <w:trHeight w:val="560"/>
        </w:trPr>
        <w:tc>
          <w:tcPr>
            <w:tcW w:w="700" w:type="dxa"/>
            <w:tcMar>
              <w:top w:w="0" w:type="dxa"/>
              <w:bottom w:w="0" w:type="dxa"/>
            </w:tcMar>
            <w:vAlign w:val="center"/>
          </w:tcPr>
          <w:p w14:paraId="7826A444" w14:textId="77777777" w:rsidR="003602F2" w:rsidRDefault="008D1F8B">
            <w:pPr>
              <w:keepNext/>
              <w:keepLines/>
              <w:spacing w:after="0" w:line="240" w:lineRule="auto"/>
            </w:pPr>
            <w:r>
              <w:rPr>
                <w:sz w:val="18"/>
              </w:rPr>
              <w:t>9</w:t>
            </w:r>
          </w:p>
        </w:tc>
        <w:tc>
          <w:tcPr>
            <w:tcW w:w="3180" w:type="dxa"/>
            <w:tcMar>
              <w:top w:w="0" w:type="dxa"/>
              <w:bottom w:w="0" w:type="dxa"/>
            </w:tcMar>
            <w:vAlign w:val="center"/>
          </w:tcPr>
          <w:p w14:paraId="7D78CC18" w14:textId="77777777" w:rsidR="003602F2" w:rsidRDefault="008D1F8B">
            <w:pPr>
              <w:keepNext/>
              <w:keepLines/>
              <w:spacing w:after="0" w:line="240" w:lineRule="auto"/>
            </w:pPr>
            <w:r>
              <w:rPr>
                <w:sz w:val="18"/>
              </w:rPr>
              <w:t>Vlastiti izvori (šifre 91 + 922 - 93 + 96 + 97)</w:t>
            </w:r>
          </w:p>
        </w:tc>
        <w:tc>
          <w:tcPr>
            <w:tcW w:w="700" w:type="dxa"/>
            <w:tcMar>
              <w:top w:w="0" w:type="dxa"/>
              <w:bottom w:w="0" w:type="dxa"/>
            </w:tcMar>
            <w:vAlign w:val="center"/>
          </w:tcPr>
          <w:p w14:paraId="1E3ABD9D" w14:textId="77777777" w:rsidR="003602F2" w:rsidRDefault="008D1F8B">
            <w:pPr>
              <w:keepNext/>
              <w:keepLines/>
              <w:spacing w:after="0" w:line="240" w:lineRule="auto"/>
            </w:pPr>
            <w:r>
              <w:rPr>
                <w:sz w:val="18"/>
              </w:rPr>
              <w:t>9</w:t>
            </w:r>
          </w:p>
        </w:tc>
        <w:tc>
          <w:tcPr>
            <w:tcW w:w="1860" w:type="dxa"/>
            <w:tcMar>
              <w:top w:w="0" w:type="dxa"/>
              <w:bottom w:w="0" w:type="dxa"/>
            </w:tcMar>
            <w:vAlign w:val="center"/>
          </w:tcPr>
          <w:p w14:paraId="4E89047B" w14:textId="77777777" w:rsidR="003602F2" w:rsidRDefault="008D1F8B">
            <w:pPr>
              <w:keepNext/>
              <w:keepLines/>
              <w:spacing w:after="0" w:line="240" w:lineRule="auto"/>
              <w:jc w:val="right"/>
            </w:pPr>
            <w:r>
              <w:rPr>
                <w:sz w:val="18"/>
              </w:rPr>
              <w:t>-728.689,27</w:t>
            </w:r>
          </w:p>
        </w:tc>
        <w:tc>
          <w:tcPr>
            <w:tcW w:w="1860" w:type="dxa"/>
            <w:tcMar>
              <w:top w:w="0" w:type="dxa"/>
              <w:bottom w:w="0" w:type="dxa"/>
            </w:tcMar>
            <w:vAlign w:val="center"/>
          </w:tcPr>
          <w:p w14:paraId="797DB15B" w14:textId="77777777" w:rsidR="003602F2" w:rsidRDefault="008D1F8B">
            <w:pPr>
              <w:keepNext/>
              <w:keepLines/>
              <w:spacing w:after="0" w:line="240" w:lineRule="auto"/>
              <w:jc w:val="right"/>
            </w:pPr>
            <w:r>
              <w:rPr>
                <w:sz w:val="18"/>
              </w:rPr>
              <w:t>-261.508,80</w:t>
            </w:r>
          </w:p>
        </w:tc>
        <w:tc>
          <w:tcPr>
            <w:tcW w:w="700" w:type="dxa"/>
            <w:tcMar>
              <w:top w:w="0" w:type="dxa"/>
              <w:bottom w:w="0" w:type="dxa"/>
            </w:tcMar>
            <w:vAlign w:val="center"/>
          </w:tcPr>
          <w:p w14:paraId="6609E59E" w14:textId="77777777" w:rsidR="003602F2" w:rsidRDefault="008D1F8B">
            <w:pPr>
              <w:keepNext/>
              <w:keepLines/>
              <w:spacing w:after="0" w:line="240" w:lineRule="auto"/>
              <w:jc w:val="right"/>
            </w:pPr>
            <w:r>
              <w:rPr>
                <w:sz w:val="18"/>
              </w:rPr>
              <w:t>35,9</w:t>
            </w:r>
          </w:p>
        </w:tc>
      </w:tr>
    </w:tbl>
    <w:p w14:paraId="2FF4CBE1" w14:textId="77777777" w:rsidR="003602F2" w:rsidRDefault="003602F2">
      <w:pPr>
        <w:spacing w:after="0"/>
      </w:pPr>
    </w:p>
    <w:p w14:paraId="5D3E3201" w14:textId="77777777" w:rsidR="003602F2" w:rsidRDefault="008D1F8B">
      <w:pPr>
        <w:jc w:val="both"/>
      </w:pPr>
      <w:r>
        <w:t>Vlastiti izvori su smanjeni  za 64,10 % u odnosu na prošlu godinu. Na dan 1. siječnja 2025. godine iznosili su –728.689,27 EURA, dok na dan 31. prosinca 2025. godine iznose –261.508,80 EURA, što pokazuje značajno smanjenje negativnog salda.</w:t>
      </w:r>
    </w:p>
    <w:p w14:paraId="36114434" w14:textId="77777777" w:rsidR="003602F2" w:rsidRDefault="008D1F8B">
      <w:pPr>
        <w:jc w:val="both"/>
      </w:pPr>
      <w:r>
        <w:t>Poboljšanje stanja vlastitih izvora posljedica je ostvarenog viška prihoda i primitaka u tekućoj godini, kojim je smanjen ranije kumulirani manjak poslovanja.</w:t>
      </w:r>
    </w:p>
    <w:p w14:paraId="4F7251B0" w14:textId="77777777" w:rsidR="003602F2" w:rsidRDefault="008D1F8B">
      <w:pPr>
        <w:jc w:val="both"/>
      </w:pPr>
      <w:r>
        <w:t>Smanjenje negativnog iznosa vlastitih izvora potvrđuje pozitivan trend financijskog poslovanja, postupni izlazak iz kumuliranog manjka te jačanje financijske stabilnosti ustanove.</w:t>
      </w:r>
    </w:p>
    <w:p w14:paraId="6FB49BC2" w14:textId="77777777" w:rsidR="003602F2" w:rsidRDefault="008D1F8B">
      <w:pPr>
        <w:jc w:val="both"/>
      </w:pPr>
      <w:r>
        <w:t> </w:t>
      </w:r>
    </w:p>
    <w:p w14:paraId="7EC864F9" w14:textId="77777777" w:rsidR="003602F2" w:rsidRDefault="003602F2"/>
    <w:p w14:paraId="68D69C44" w14:textId="77777777" w:rsidR="003602F2" w:rsidRDefault="008D1F8B">
      <w:pPr>
        <w:keepNext/>
        <w:spacing w:line="240" w:lineRule="auto"/>
        <w:jc w:val="center"/>
      </w:pPr>
      <w:r>
        <w:rPr>
          <w:b/>
          <w:sz w:val="28"/>
        </w:rPr>
        <w:t>Promjene u vrijednosti i obujmu imovine i obveza</w:t>
      </w:r>
    </w:p>
    <w:p w14:paraId="0C35C7A1" w14:textId="77777777" w:rsidR="003602F2" w:rsidRDefault="008D1F8B">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02F2" w14:paraId="3E6978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3826AF"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0CE15"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5ED28B"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0134F" w14:textId="77777777" w:rsidR="003602F2" w:rsidRDefault="008D1F8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5B19E6E" w14:textId="77777777" w:rsidR="003602F2" w:rsidRDefault="008D1F8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A17CEE8" w14:textId="77777777" w:rsidR="003602F2" w:rsidRDefault="008D1F8B">
            <w:pPr>
              <w:keepNext/>
              <w:keepLines/>
              <w:spacing w:after="0" w:line="240" w:lineRule="auto"/>
              <w:jc w:val="center"/>
            </w:pPr>
            <w:r>
              <w:rPr>
                <w:b/>
                <w:sz w:val="18"/>
              </w:rPr>
              <w:t>Indeks (%)</w:t>
            </w:r>
          </w:p>
        </w:tc>
      </w:tr>
      <w:tr w:rsidR="003602F2" w14:paraId="7BFDCFE1" w14:textId="77777777">
        <w:tblPrEx>
          <w:tblCellMar>
            <w:top w:w="0" w:type="dxa"/>
            <w:bottom w:w="0" w:type="dxa"/>
          </w:tblCellMar>
        </w:tblPrEx>
        <w:trPr>
          <w:cantSplit/>
          <w:trHeight w:val="560"/>
        </w:trPr>
        <w:tc>
          <w:tcPr>
            <w:tcW w:w="700" w:type="dxa"/>
            <w:tcMar>
              <w:top w:w="0" w:type="dxa"/>
              <w:bottom w:w="0" w:type="dxa"/>
            </w:tcMar>
            <w:vAlign w:val="center"/>
          </w:tcPr>
          <w:p w14:paraId="6F3993B0" w14:textId="77777777" w:rsidR="003602F2" w:rsidRDefault="008D1F8B">
            <w:pPr>
              <w:keepNext/>
              <w:keepLines/>
              <w:spacing w:after="0" w:line="240" w:lineRule="auto"/>
            </w:pPr>
            <w:r>
              <w:rPr>
                <w:sz w:val="18"/>
              </w:rPr>
              <w:t>9151</w:t>
            </w:r>
          </w:p>
        </w:tc>
        <w:tc>
          <w:tcPr>
            <w:tcW w:w="3180" w:type="dxa"/>
            <w:tcMar>
              <w:top w:w="0" w:type="dxa"/>
              <w:bottom w:w="0" w:type="dxa"/>
            </w:tcMar>
            <w:vAlign w:val="center"/>
          </w:tcPr>
          <w:p w14:paraId="0EE3C618" w14:textId="77777777" w:rsidR="003602F2" w:rsidRDefault="008D1F8B">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33343A2" w14:textId="77777777" w:rsidR="003602F2" w:rsidRDefault="008D1F8B">
            <w:pPr>
              <w:keepNext/>
              <w:keepLines/>
              <w:spacing w:after="0" w:line="240" w:lineRule="auto"/>
            </w:pPr>
            <w:r>
              <w:rPr>
                <w:sz w:val="18"/>
              </w:rPr>
              <w:t>9151</w:t>
            </w:r>
          </w:p>
        </w:tc>
        <w:tc>
          <w:tcPr>
            <w:tcW w:w="1860" w:type="dxa"/>
            <w:tcMar>
              <w:top w:w="0" w:type="dxa"/>
              <w:bottom w:w="0" w:type="dxa"/>
            </w:tcMar>
            <w:vAlign w:val="center"/>
          </w:tcPr>
          <w:p w14:paraId="70B6918A" w14:textId="77777777" w:rsidR="003602F2" w:rsidRDefault="008D1F8B">
            <w:pPr>
              <w:keepNext/>
              <w:keepLines/>
              <w:spacing w:after="0" w:line="240" w:lineRule="auto"/>
              <w:jc w:val="right"/>
            </w:pPr>
            <w:r>
              <w:rPr>
                <w:sz w:val="18"/>
              </w:rPr>
              <w:t>42.814,09</w:t>
            </w:r>
          </w:p>
        </w:tc>
        <w:tc>
          <w:tcPr>
            <w:tcW w:w="1860" w:type="dxa"/>
            <w:tcMar>
              <w:top w:w="0" w:type="dxa"/>
              <w:bottom w:w="0" w:type="dxa"/>
            </w:tcMar>
            <w:vAlign w:val="center"/>
          </w:tcPr>
          <w:p w14:paraId="26FA465B" w14:textId="77777777" w:rsidR="003602F2" w:rsidRDefault="008D1F8B">
            <w:pPr>
              <w:keepNext/>
              <w:keepLines/>
              <w:spacing w:after="0" w:line="240" w:lineRule="auto"/>
              <w:jc w:val="right"/>
            </w:pPr>
            <w:r>
              <w:rPr>
                <w:sz w:val="18"/>
              </w:rPr>
              <w:t>1.835,30</w:t>
            </w:r>
          </w:p>
        </w:tc>
        <w:tc>
          <w:tcPr>
            <w:tcW w:w="700" w:type="dxa"/>
            <w:tcMar>
              <w:top w:w="0" w:type="dxa"/>
              <w:bottom w:w="0" w:type="dxa"/>
            </w:tcMar>
            <w:vAlign w:val="center"/>
          </w:tcPr>
          <w:p w14:paraId="6A69E833" w14:textId="77777777" w:rsidR="003602F2" w:rsidRDefault="008D1F8B">
            <w:pPr>
              <w:keepNext/>
              <w:keepLines/>
              <w:spacing w:after="0" w:line="240" w:lineRule="auto"/>
              <w:jc w:val="right"/>
            </w:pPr>
            <w:r>
              <w:rPr>
                <w:sz w:val="18"/>
              </w:rPr>
              <w:t>4,3</w:t>
            </w:r>
          </w:p>
        </w:tc>
      </w:tr>
    </w:tbl>
    <w:p w14:paraId="531CE565" w14:textId="77777777" w:rsidR="003602F2" w:rsidRDefault="003602F2">
      <w:pPr>
        <w:spacing w:after="0"/>
      </w:pPr>
    </w:p>
    <w:p w14:paraId="16993ADF" w14:textId="77777777" w:rsidR="003602F2" w:rsidRDefault="008D1F8B">
      <w:pPr>
        <w:jc w:val="both"/>
      </w:pPr>
      <w:r>
        <w:t>U izvještajnom razdoblju evidentirane su promjene u vrijednosti i obujmu imovine i obveza temeljem odluka čelnika ustanove i provedenih računovodstvenih usklađenja, a koje se odnose na otpis obveza, otpis potraživanja te ispravak vrijednosti rashodovane dugotrajne imovine.</w:t>
      </w:r>
    </w:p>
    <w:p w14:paraId="0F743510" w14:textId="77777777" w:rsidR="003602F2" w:rsidRDefault="008D1F8B">
      <w:pPr>
        <w:jc w:val="both"/>
      </w:pPr>
      <w:r>
        <w:t>Promjene u vrijednosti financijske imovine.</w:t>
      </w:r>
      <w:r>
        <w:br/>
        <w:t>Povećanje u iznosu od 42.814,09 EURA odnosi se na usklađenja vrijednosti financijske imovine, prvenstveno po osnovi potraživanja iz poslovanja, a provedeno je sukladno načelu istinitog  prikazivanja financijskog položaja.</w:t>
      </w:r>
    </w:p>
    <w:p w14:paraId="78245531" w14:textId="77777777" w:rsidR="003602F2" w:rsidRDefault="008D1F8B">
      <w:pPr>
        <w:jc w:val="both"/>
      </w:pPr>
      <w:r>
        <w:t>Promjene u obujmu financijske imovine.</w:t>
      </w:r>
      <w:r>
        <w:br/>
        <w:t>Smanjenje u iznosu od 1.835,30 EURA odnosi se na otpis potraživanja, proveden temeljem Odluke čelnika, nakon utvrđenja da ista nisu naplativa, čime je izvršeno usklađenje stvarnog stanja potraživanja s poslovnim knjigama.</w:t>
      </w:r>
    </w:p>
    <w:p w14:paraId="24E5235A" w14:textId="77777777" w:rsidR="003602F2" w:rsidRDefault="003602F2"/>
    <w:p w14:paraId="0589F290" w14:textId="77777777" w:rsidR="003602F2" w:rsidRDefault="008D1F8B">
      <w:pPr>
        <w:keepNext/>
        <w:spacing w:line="240" w:lineRule="auto"/>
        <w:jc w:val="center"/>
      </w:pPr>
      <w:r>
        <w:rPr>
          <w:b/>
          <w:sz w:val="28"/>
        </w:rPr>
        <w:lastRenderedPageBreak/>
        <w:t>Izvještaj o obvezama</w:t>
      </w:r>
    </w:p>
    <w:p w14:paraId="182B4100" w14:textId="77777777" w:rsidR="003602F2" w:rsidRDefault="008D1F8B">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602F2" w14:paraId="0FE564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6969CD" w14:textId="77777777" w:rsidR="003602F2" w:rsidRDefault="008D1F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CBE48" w14:textId="77777777" w:rsidR="003602F2" w:rsidRDefault="008D1F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C9DB5" w14:textId="77777777" w:rsidR="003602F2" w:rsidRDefault="008D1F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B0285" w14:textId="77777777" w:rsidR="003602F2" w:rsidRDefault="008D1F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4C7306" w14:textId="77777777" w:rsidR="003602F2" w:rsidRDefault="008D1F8B">
            <w:pPr>
              <w:keepNext/>
              <w:keepLines/>
              <w:spacing w:after="0" w:line="240" w:lineRule="auto"/>
              <w:jc w:val="center"/>
            </w:pPr>
            <w:r>
              <w:rPr>
                <w:b/>
                <w:sz w:val="18"/>
              </w:rPr>
              <w:t>Indeks (%)</w:t>
            </w:r>
          </w:p>
        </w:tc>
      </w:tr>
      <w:tr w:rsidR="003602F2" w14:paraId="191B758E" w14:textId="77777777">
        <w:tblPrEx>
          <w:tblCellMar>
            <w:top w:w="0" w:type="dxa"/>
            <w:bottom w:w="0" w:type="dxa"/>
          </w:tblCellMar>
        </w:tblPrEx>
        <w:trPr>
          <w:cantSplit/>
          <w:trHeight w:val="560"/>
        </w:trPr>
        <w:tc>
          <w:tcPr>
            <w:tcW w:w="700" w:type="dxa"/>
            <w:tcMar>
              <w:top w:w="0" w:type="dxa"/>
              <w:bottom w:w="0" w:type="dxa"/>
            </w:tcMar>
            <w:vAlign w:val="center"/>
          </w:tcPr>
          <w:p w14:paraId="6E46B85D" w14:textId="77777777" w:rsidR="003602F2" w:rsidRDefault="003602F2">
            <w:pPr>
              <w:keepNext/>
              <w:keepLines/>
              <w:spacing w:after="0" w:line="240" w:lineRule="auto"/>
            </w:pPr>
          </w:p>
        </w:tc>
        <w:tc>
          <w:tcPr>
            <w:tcW w:w="3180" w:type="dxa"/>
            <w:tcMar>
              <w:top w:w="0" w:type="dxa"/>
              <w:bottom w:w="0" w:type="dxa"/>
            </w:tcMar>
            <w:vAlign w:val="center"/>
          </w:tcPr>
          <w:p w14:paraId="2A1BCBCB" w14:textId="77777777" w:rsidR="003602F2" w:rsidRDefault="008D1F8B">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765E81E" w14:textId="77777777" w:rsidR="003602F2" w:rsidRDefault="008D1F8B">
            <w:pPr>
              <w:keepNext/>
              <w:keepLines/>
              <w:spacing w:after="0" w:line="240" w:lineRule="auto"/>
            </w:pPr>
            <w:r>
              <w:rPr>
                <w:sz w:val="18"/>
              </w:rPr>
              <w:t>V007</w:t>
            </w:r>
          </w:p>
        </w:tc>
        <w:tc>
          <w:tcPr>
            <w:tcW w:w="1860" w:type="dxa"/>
            <w:tcMar>
              <w:top w:w="0" w:type="dxa"/>
              <w:bottom w:w="0" w:type="dxa"/>
            </w:tcMar>
            <w:vAlign w:val="center"/>
          </w:tcPr>
          <w:p w14:paraId="6B86714E" w14:textId="77777777" w:rsidR="003602F2" w:rsidRDefault="008D1F8B">
            <w:pPr>
              <w:keepNext/>
              <w:keepLines/>
              <w:spacing w:after="0" w:line="240" w:lineRule="auto"/>
              <w:jc w:val="right"/>
            </w:pPr>
            <w:r>
              <w:rPr>
                <w:sz w:val="18"/>
              </w:rPr>
              <w:t>159.084,42</w:t>
            </w:r>
          </w:p>
        </w:tc>
        <w:tc>
          <w:tcPr>
            <w:tcW w:w="700" w:type="dxa"/>
            <w:tcMar>
              <w:top w:w="0" w:type="dxa"/>
              <w:bottom w:w="0" w:type="dxa"/>
            </w:tcMar>
            <w:vAlign w:val="center"/>
          </w:tcPr>
          <w:p w14:paraId="1FB5B633" w14:textId="77777777" w:rsidR="003602F2" w:rsidRDefault="008D1F8B">
            <w:pPr>
              <w:keepNext/>
              <w:keepLines/>
              <w:spacing w:after="0" w:line="240" w:lineRule="auto"/>
              <w:jc w:val="right"/>
            </w:pPr>
            <w:r>
              <w:rPr>
                <w:sz w:val="18"/>
              </w:rPr>
              <w:t>-</w:t>
            </w:r>
          </w:p>
        </w:tc>
      </w:tr>
    </w:tbl>
    <w:p w14:paraId="4D7996D0" w14:textId="77777777" w:rsidR="003602F2" w:rsidRDefault="003602F2">
      <w:pPr>
        <w:spacing w:after="0"/>
      </w:pPr>
    </w:p>
    <w:p w14:paraId="4C9B7551" w14:textId="77777777" w:rsidR="003602F2" w:rsidRDefault="008D1F8B">
      <w:pPr>
        <w:jc w:val="both"/>
      </w:pPr>
      <w:r>
        <w:t>Na početku izvještajnog razdoblja ukupne obveze iznosile su 1.253.040,82 EURA, dok na kraju izvještajnog razdoblja ukupne obveze iznose 1.114.958,35 EURA, što predstavlja smanjenje ukupnih obveza za 138.082,47 EURA u odnosu na početak godine. Smanjenje ukupnog stanja obveza rezultat je urednog i pravodobnog podmirivanja preuzetih obveza tijekom izvještajnog razdoblja, uz stabilno financijsko poslovanje ustanove i osigurana sredstva za izvršavanje obveza u skladu s financijskim planom.</w:t>
      </w:r>
    </w:p>
    <w:p w14:paraId="02F07068" w14:textId="77777777" w:rsidR="003602F2" w:rsidRDefault="008D1F8B">
      <w:pPr>
        <w:jc w:val="both"/>
      </w:pPr>
      <w:r>
        <w:t>Na dan 31. prosinca izvještajne godine, u okviru ukupnih obveza, iskazano je stanje dospjelih obveza u iznosu od 159.084,42 EURA.  Iskazane dospjele obveze na kraju izvještajnog razdoblja čine manji dio ukupnih obveza, a njihov nastanak posljedica je vremenskog nesklada između datuma dospijeća obveza i datuma izvršenja plaćanja, što je uobičajeno u proračunskom računovodstvu, osobito kod obveza koje dospijevaju krajem godine. Navedene obveze su podmirene početkom sljedeće godine, sukladno osiguranim sredstv</w:t>
      </w:r>
      <w:r>
        <w:t>ima. Iskazane nedospjele obveze na dan izvještavanja iznose 955.873,93 EURA, a odnose se na obveze za plaće i materijalna prava zaposlenika, isplatu autorskih honorara vanjskim suradnicima kao i obveze po zaprimljenim računima čiji je ugovoreni rok dospijeća u siječnju 2026. godine.</w:t>
      </w:r>
    </w:p>
    <w:p w14:paraId="5D15004C" w14:textId="77777777" w:rsidR="003602F2" w:rsidRDefault="008D1F8B">
      <w:pPr>
        <w:jc w:val="both"/>
      </w:pPr>
      <w:r>
        <w:t>Važno je naglasiti da, dospjele obveze nisu rezultat nelikvidnosti, već redovne dinamike poslovanja, ne odnose se na dugoročno nepodmirene obveze, niti na obveze za koje postoje sporovi ili neizvjesnosti u podmirenju. U izvještajnom razdoblju ustanova je uredno i pravodobno podmirivala svoje obveze, bez zastoja u plaćanjima koji bi mogli ugroziti financijsku stabilnost ili redovno poslovanje. Ostvareni višak  vlastitih prihoda i primitaka u tekućoj godini dodatno potvrđuje sposobnost ustanove za uredno izvr</w:t>
      </w:r>
      <w:r>
        <w:t>šavanje preuzetih obveza.</w:t>
      </w:r>
    </w:p>
    <w:p w14:paraId="09B95E7F" w14:textId="77777777" w:rsidR="003602F2" w:rsidRDefault="003602F2"/>
    <w:p w14:paraId="276AF46C" w14:textId="77777777" w:rsidR="003602F2" w:rsidRDefault="008D1F8B">
      <w:pPr>
        <w:keepNext/>
        <w:spacing w:line="240" w:lineRule="auto"/>
        <w:jc w:val="center"/>
      </w:pPr>
      <w:r>
        <w:rPr>
          <w:sz w:val="28"/>
        </w:rPr>
        <w:t>Bilješka 11.</w:t>
      </w:r>
    </w:p>
    <w:p w14:paraId="4D2F953F" w14:textId="77777777" w:rsidR="003602F2" w:rsidRDefault="008D1F8B">
      <w:pPr>
        <w:spacing w:line="240" w:lineRule="auto"/>
        <w:jc w:val="both"/>
      </w:pPr>
      <w:r>
        <w:rPr>
          <w:b/>
        </w:rPr>
        <w:t>EU izvještaj</w:t>
      </w:r>
    </w:p>
    <w:p w14:paraId="357D6CB3" w14:textId="77777777" w:rsidR="003602F2" w:rsidRDefault="008D1F8B">
      <w:pPr>
        <w:jc w:val="both"/>
      </w:pPr>
      <w:r>
        <w:t>U okviru EU izvještaja po izvorima financiranja – izvor 575 (Fond za azil, migracije i integraciju), u 2024. godini ostvareni su prihodi u iznosu od 114.855,10 EURA, dok su rashodi iznosili 40.077,43 EURA, čime je ostvaren višak prihoda u iznosu od 74.777,67 EURA. Ostvareni višak prihoda iz 2024. godine prenesen je u sljedeće izvještajno razdoblje te je, sukladno pravilima proračunskog računovodstva i metodologiji izvještavanja po izvorima financiranja, evidentiran na izvoru 9575 – Višak – pomoći od međunar</w:t>
      </w:r>
      <w:r>
        <w:t xml:space="preserve">odnih organizacija i tijela Europske unije. Preneseni višak iz 2024. godine se u 2025. godini utrošio u iznosu od </w:t>
      </w:r>
      <w:r>
        <w:lastRenderedPageBreak/>
        <w:t>60.194,95 EURA te će se prenijeti u 2026. godinu u iznosu od 14.582,72. EURA. Višak se odnosi na projekt Deconfining.</w:t>
      </w:r>
    </w:p>
    <w:p w14:paraId="27BFEE90" w14:textId="77777777" w:rsidR="003602F2" w:rsidRDefault="008D1F8B">
      <w:pPr>
        <w:jc w:val="both"/>
      </w:pPr>
      <w:r>
        <w:t>U 2025. godini, po istom izvoru financiranja (575), ostvareni su prihodi u iznosu od 23.531,40 EURA, dok su rashodi ostvareni u istom iznosu od 23.531,40 EURA, čime su prihodi i rashodi u izvještajnom razdoblju u potpunosti uravnoteženi, bez nastanka dodatnog viška ili manjka. U navedenom iznosu, na projekt Fortissimo odnosi se iznos od 20.639,00 EUR dok se na projekt Prospero odnosi iznos od 2.892,40 EUR.</w:t>
      </w:r>
    </w:p>
    <w:p w14:paraId="092FD47F" w14:textId="77777777" w:rsidR="003602F2" w:rsidRDefault="008D1F8B">
      <w:pPr>
        <w:jc w:val="both"/>
      </w:pPr>
      <w:r>
        <w:t>Kretanje prihoda i rashoda po izvoru 575 odražava dinamiku provedbe projekta, pri čemu je veći dio aktivnosti i financijskog rezultata ostvaren u prethodnom razdoblju, dok su u tekućoj godini evidentirani rashodi financirani iz prenesenog viška i tekućih prihoda, sukladno odobrenim projektnim aktivnostima.</w:t>
      </w:r>
    </w:p>
    <w:p w14:paraId="0AF7B8DF" w14:textId="77777777" w:rsidR="003602F2" w:rsidRDefault="003602F2"/>
    <w:sectPr w:rsidR="00360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F2"/>
    <w:rsid w:val="00002522"/>
    <w:rsid w:val="003602F2"/>
    <w:rsid w:val="008D1F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31A9"/>
  <w15:docId w15:val="{53C6827F-D7C9-4CDA-98DC-36324A5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14199</Characters>
  <Application>Microsoft Office Word</Application>
  <DocSecurity>0</DocSecurity>
  <Lines>118</Lines>
  <Paragraphs>33</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Žuger Anamarija</dc:creator>
  <cp:lastModifiedBy>Žuger Anamarija</cp:lastModifiedBy>
  <cp:revision>2</cp:revision>
  <cp:lastPrinted>2026-02-02T14:16:00Z</cp:lastPrinted>
  <dcterms:created xsi:type="dcterms:W3CDTF">2026-02-02T14:16:00Z</dcterms:created>
  <dcterms:modified xsi:type="dcterms:W3CDTF">2026-02-02T14:16:00Z</dcterms:modified>
</cp:coreProperties>
</file>